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附件：</w:t>
      </w:r>
    </w:p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福泉市第一人民医院</w:t>
      </w:r>
    </w:p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</w:rPr>
        <w:t>核码测温通行闸道采购清单</w:t>
      </w: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及技术参数</w:t>
      </w:r>
    </w:p>
    <w:tbl>
      <w:tblPr>
        <w:tblStyle w:val="2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15"/>
        <w:gridCol w:w="65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1415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521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417" w:type="dxa"/>
            <w:shd w:val="clear" w:color="auto" w:fill="D8D8D8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vMerge w:val="restart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vMerge w:val="restart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单机芯闸机</w:t>
            </w: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0*980mm，通道宽度：8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双机芯闸机</w:t>
            </w: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人脸测温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健康码核验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一体机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8英寸IPS高清屏，分辨率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1280*800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1.8GHz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 核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8GB内存；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人脸识别、活体检测、发热报警、门禁控制、时间控制、地区控制、通行记录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闸机配套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配套栅门、护栏、线材五金，尺寸与数量满足现场安装需要。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定制软件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通过身份证或国康码进行人证码合一验证，再连接国康码平台获取最新的国康码，红码与黄码报警，绿码放行。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通过身份证或黔康码进行人证码合一验证，再连接黔康码平台获取最新的黔康码，红码与黄码报警，绿码放行。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支持按设置时段自动切换工作模式：单测温模式、测温核码模式。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在本院部署平台对闸机进行设置、通行记录管理。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售后服务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现场安装（地下埋线）确保设备安全、稳定、美观；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一年软硬件免费维保。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1包</w:t>
            </w:r>
          </w:p>
        </w:tc>
      </w:tr>
    </w:tbl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Cs w:val="21"/>
        </w:rPr>
      </w:pPr>
    </w:p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</w:rPr>
        <w:t>核码测温通行闸道技术参数要求</w:t>
      </w:r>
    </w:p>
    <w:tbl>
      <w:tblPr>
        <w:tblStyle w:val="2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15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1415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7938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单机芯闸机</w:t>
            </w:r>
          </w:p>
        </w:tc>
        <w:tc>
          <w:tcPr>
            <w:tcW w:w="7938" w:type="dxa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800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材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质：304不锈钢+透明亚克力；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开闸速度：</w:t>
            </w:r>
            <w:r>
              <w:rPr>
                <w:rFonts w:ascii="华文仿宋" w:hAnsi="华文仿宋" w:eastAsia="华文仿宋"/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S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电压输入：220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，5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0HZ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马达寿命：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连续使用600万次直流无刷电机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双机芯闸机</w:t>
            </w:r>
          </w:p>
        </w:tc>
        <w:tc>
          <w:tcPr>
            <w:tcW w:w="7938" w:type="dxa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800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mm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mm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材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质：304不锈钢+透明亚克力板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开闸速度：</w:t>
            </w:r>
            <w:r>
              <w:rPr>
                <w:rFonts w:ascii="华文仿宋" w:hAnsi="华文仿宋" w:eastAsia="华文仿宋"/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S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电压输入：220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，5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0HZ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马达寿命：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连续使用600万次直流无刷电机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人脸测温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健康码核验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一体机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处 理 器：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1.8GHz，4 核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内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存：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8GB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 脸 库：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万张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筛查记录：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10万条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显 示 屏：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8英寸IPS高清屏，分辨率：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1280*800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内置镜头：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200W高清摄像头 + 200W红外夜视高清摄像头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镜头尺寸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：6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mm，彩色 1920*1080 30fps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测温范围：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20℃～50℃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测温误差：</w:t>
            </w:r>
            <w:r>
              <w:rPr>
                <w:rFonts w:ascii="华文仿宋" w:hAnsi="华文仿宋" w:eastAsia="华文仿宋"/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±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0.4℃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检测距离：0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.3~0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.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8m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内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置：W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IFI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、蓝牙、L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ED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补光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外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接：身份证识别仪、国康码、黔康码扫描仪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功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 能：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人脸识别、活体检测、发热报警、门禁控制、时间控制、地区控制、通行记录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闸机配套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栅门：可遥控开关，尺寸满足现场安装需要，定制。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护栏：尺寸满足现场安装需要，定制。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线材五金：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RVV3*1.5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、超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5类8芯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，数量满足现场安装需要。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定制软件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通过身份证或国康码进行人证码合一验证，再连接国康码平台获取最新的国康码，红码与黄码报警，绿码放行。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通过身份证或黔康码进行人证码合一验证，再连接黔康码平台获取最新的黔康码，红码与黄码报警，绿码放行。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支持按设置时段自动切换工作模式：单测温模式、测温核码模式。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在本院部署平台对闸机进行设置、通行记录管理。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售后服务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现场安装（地下埋线）确保设备安全、稳定、美观；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 xml:space="preserve"> 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一年软硬件免费维保，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7</w:t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×2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4</w:t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小时技术支持，远程技术支持不能解决时技术人员须 4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8</w:t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小时内到达现场维修。</w:t>
            </w:r>
          </w:p>
        </w:tc>
      </w:tr>
    </w:tbl>
    <w:p>
      <w:pPr>
        <w:spacing w:line="276" w:lineRule="auto"/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福泉市第一人民医院询价采购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核码测温通行闸道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报价表</w:t>
      </w:r>
    </w:p>
    <w:p>
      <w:pPr>
        <w:wordWrap w:val="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报价日期：  年     月    日</w:t>
      </w:r>
    </w:p>
    <w:tbl>
      <w:tblPr>
        <w:tblStyle w:val="2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842"/>
        <w:gridCol w:w="1276"/>
        <w:gridCol w:w="1134"/>
        <w:gridCol w:w="92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设备名称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规格型号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单位（套）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单价（元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核码测温通行闸道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2入1出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套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核码测温通行闸道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1入1出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套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97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总计：大写：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3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报价公司：</w:t>
            </w:r>
          </w:p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103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报价人及联系电话：</w:t>
            </w:r>
          </w:p>
        </w:tc>
      </w:tr>
    </w:tbl>
    <w:p>
      <w:pPr>
        <w:wordWrap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D7988"/>
    <w:multiLevelType w:val="multilevel"/>
    <w:tmpl w:val="0B2D79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E30863"/>
    <w:multiLevelType w:val="multilevel"/>
    <w:tmpl w:val="0CE3086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24696"/>
    <w:multiLevelType w:val="multilevel"/>
    <w:tmpl w:val="1932469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932A00"/>
    <w:multiLevelType w:val="multilevel"/>
    <w:tmpl w:val="34932A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E359B9"/>
    <w:multiLevelType w:val="multilevel"/>
    <w:tmpl w:val="57E359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BF1297"/>
    <w:multiLevelType w:val="multilevel"/>
    <w:tmpl w:val="69BF12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C0D59"/>
    <w:rsid w:val="0C4C0D59"/>
    <w:rsid w:val="20A2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2021-08-12T02:14:00Z</dcterms:created>
  <dc:creator>GoodMorning </dc:creator>
  <cp:lastModifiedBy>GoodMorning </cp:lastModifiedBy>
  <dcterms:modified xsi:type="dcterms:W3CDTF">2021-08-12T02:16:57Z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06A662AD91C0491E83DFC2A82B75C432</vt:lpwstr>
  </property>
</Properties>
</file>