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福泉市第一人民医院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电动手术床（台）采购参数及配置要求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3819525" cy="2447925"/>
            <wp:effectExtent l="0" t="0" r="9525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采购项目名称：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PX-136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电动手术床（台）（包括：①骨科牵引架；②颅脑手术头架）。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采购数量：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1套（台）。</w:t>
      </w: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采购参数及配置要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求：</w:t>
      </w:r>
    </w:p>
    <w:p>
      <w:pPr>
        <w:pStyle w:val="5"/>
        <w:widowControl/>
        <w:numPr>
          <w:ilvl w:val="0"/>
          <w:numId w:val="0"/>
        </w:numPr>
        <w:spacing w:line="49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（一）、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规格参数：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1、台面长宽：2020（±20）×500（±20）mm；   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2、台面高度：台面底部离地≥560，中空底座和台面底部距离≥450mm，床面最高1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0mm≥；     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3、台面左、右倾斜（侧倾）：≥20°（电动）；  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4、台面前倾≤25°后倾≤20°（电动）；    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5、背板上折：≥75°下折：≥15°(电动）；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6、头板上折≥35°下折≥90°（手动）；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7、腿板下折：≥90°轴式可展开180°可拆卸（手动）；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8、额定承重：135kg ；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9、腰桥：升降120mm（±10）。</w:t>
      </w:r>
    </w:p>
    <w:p>
      <w:pPr>
        <w:spacing w:line="490" w:lineRule="exact"/>
        <w:ind w:left="899" w:leftChars="42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10、床面偏移量≥升降柱的宽度。</w:t>
      </w:r>
    </w:p>
    <w:p>
      <w:pPr>
        <w:pStyle w:val="5"/>
        <w:widowControl/>
        <w:numPr>
          <w:ilvl w:val="0"/>
          <w:numId w:val="0"/>
        </w:numPr>
        <w:spacing w:line="49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（二）、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使用场合</w:t>
      </w:r>
    </w:p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电动综合手术床供胸腹、外科、脑外科、眼科、耳鼻喉科、妇产科、泌尿科等实行综合手术用。</w:t>
      </w:r>
    </w:p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、产品功能：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1、台面升降、前后倾、左右倾、背板起背等主要体位调整均由按键操作、电动推杆传动实现；</w:t>
      </w:r>
    </w:p>
    <w:p>
      <w:pPr>
        <w:pStyle w:val="11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2、台面板采用优质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抗倍特</w:t>
      </w:r>
      <w:r>
        <w:rPr>
          <w:rFonts w:hint="eastAsia" w:ascii="仿宋_GB2312" w:hAnsi="仿宋_GB2312" w:eastAsia="仿宋_GB2312" w:cs="仿宋_GB2312"/>
          <w:sz w:val="28"/>
          <w:szCs w:val="28"/>
        </w:rPr>
        <w:t>板制成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抗倍特板满足GB/T7911-2013《热固性树脂浸渍纸高压装饰层积板（HPL）》以下性能：</w:t>
      </w:r>
    </w:p>
    <w:p>
      <w:pPr>
        <w:pStyle w:val="11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1、抗大球冲击（落球高度100cm）：凹痕直径≤5mm；</w:t>
      </w:r>
    </w:p>
    <w:p>
      <w:pPr>
        <w:pStyle w:val="11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2、耐磨性：不低于3级；</w:t>
      </w:r>
    </w:p>
    <w:p>
      <w:pPr>
        <w:pStyle w:val="11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3、耐沸水性能：外观等级不低于 2级；</w:t>
      </w:r>
    </w:p>
    <w:p>
      <w:pPr>
        <w:pStyle w:val="11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4、耐干热性能：外观光泽度等级不低于 3级，其他等级不低于2级；</w:t>
      </w:r>
    </w:p>
    <w:p>
      <w:pPr>
        <w:pStyle w:val="11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5、耐湿热性：等级不低于3级；</w:t>
      </w:r>
    </w:p>
    <w:p>
      <w:pPr>
        <w:spacing w:line="490" w:lineRule="exact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6、耐污染：丙酮、咖啡、氢氧化钠、双氧水、鞋油、柠檬酸等常见化学品耐腐蚀等级均不低于3级。（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提供国家认证的第三方机构出具的手术床生产厂家委托的检测/检验报告扫描件进行佐证，原件现场核查，未提供或提供不符合要求的做不响应参数处理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</w:p>
    <w:p>
      <w:pPr>
        <w:spacing w:line="49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床垫采用慢回弹记忆海绵成型，舒适美观；记忆海绵床垫，均匀分担载者压力，具有抗腐蚀、耐酸碱、透气、易于清洗等优点，可依据病人体温自然塑型，有效防止病人产生褥疮。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3、腿板可拆卸，手动旋转外展、下折，调节方便，十分便利泌尿科手术；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4、头腿板可拆卸，便于操作，提供更加灵活的手术空间；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5、手持操纵器采用24V直流电压，操作简便、安全可靠；</w:t>
      </w:r>
    </w:p>
    <w:p>
      <w:pPr>
        <w:spacing w:line="49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6、手术台选用医用级304不锈钢材质，表面经特殊亚光处理，更具现代感，清洁更方便；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7、高强度不锈钢底罩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和框架为优质不锈钢钢板</w:t>
      </w:r>
      <w:r>
        <w:rPr>
          <w:rFonts w:hint="eastAsia" w:ascii="仿宋_GB2312" w:hAnsi="仿宋_GB2312" w:eastAsia="仿宋_GB2312" w:cs="仿宋_GB2312"/>
          <w:sz w:val="28"/>
          <w:szCs w:val="28"/>
        </w:rPr>
        <w:t>，抗压能力强，防腐蚀、易清洁；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防锈效果、耐腐蚀性能优，不锈钢板要满足中性盐雾试验≥550小时不发生腐蚀，表面部分无红锈生成，表面外观无腐蚀，坑洼，印迹等外观不良。（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国家认证的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第三方机构出具的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手术床生产厂家委托的中性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盐雾检测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报告扫描件进行佐证，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原件开标现场备查，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未提供或提供不符合要求的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按不符合参数处理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）。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8、手术台底座具有固定或移动功能，底部带有轮子，移动灵活，固定可靠；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9、本手术台主要动作：台面升降、台面前后倾、台面左右倾、背板起背采用电动装置，该装置由控制器、电动推杆等组成；头板折转、腿板折转，由气弹簧控制操作；腰板上升机械控制。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11、电控部分主要由电源器、控制按钮盒等组成。本手术台所用电源是：外接220V交流电经电源器转变为24V直流电驱动电机动作。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骨 科 牵 引 架</w:t>
      </w:r>
    </w:p>
    <w:p>
      <w:pPr>
        <w:widowControl/>
        <w:jc w:val="center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drawing>
          <wp:inline distT="0" distB="0" distL="0" distR="0">
            <wp:extent cx="5743575" cy="2495550"/>
            <wp:effectExtent l="19050" t="0" r="9525" b="0"/>
            <wp:docPr id="2" name="图片 2" descr="KGQY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GQY-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170" b="1865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495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性能参数：</w:t>
      </w:r>
    </w:p>
    <w:p>
      <w:pPr>
        <w:spacing w:line="400" w:lineRule="exact"/>
        <w:ind w:firstLine="554" w:firstLineChars="198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骨科牵引架主要用于施行下肢的牵引、复位和固定等各种骨科手术，手术中可对病员的肢体进行侧、卧式牵引及内外展体位。骨科牵引架需与各种类型的手术台组合配套使用。</w:t>
      </w:r>
    </w:p>
    <w:p>
      <w:pPr>
        <w:spacing w:line="400" w:lineRule="exact"/>
        <w:ind w:firstLine="560" w:firstLineChars="200"/>
        <w:jc w:val="distribut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牵引架外型长度 ………………………………1600±50mm</w:t>
      </w:r>
    </w:p>
    <w:p>
      <w:pPr>
        <w:spacing w:line="400" w:lineRule="exact"/>
        <w:ind w:firstLine="280" w:firstLineChars="100"/>
        <w:jc w:val="distribut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臀部支架最低高度 …………………………650±50mm</w:t>
      </w:r>
    </w:p>
    <w:p>
      <w:pPr>
        <w:spacing w:line="400" w:lineRule="exact"/>
        <w:ind w:firstLine="280" w:firstLineChars="100"/>
        <w:jc w:val="distribut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臀部支架最高高度 …………………………900±50mm</w:t>
      </w:r>
    </w:p>
    <w:p>
      <w:pPr>
        <w:spacing w:line="400" w:lineRule="exact"/>
        <w:ind w:firstLine="560" w:firstLineChars="200"/>
        <w:jc w:val="distribut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牵引范围 ……………………… 1000mm</w:t>
      </w:r>
    </w:p>
    <w:p>
      <w:pPr>
        <w:spacing w:line="400" w:lineRule="exact"/>
        <w:ind w:firstLine="280" w:firstLineChars="100"/>
        <w:jc w:val="distribut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牵引行程 ………………………………200mm</w:t>
      </w:r>
    </w:p>
    <w:p>
      <w:pPr>
        <w:spacing w:line="4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托腿架升高………………………………………… 300mm</w:t>
      </w:r>
    </w:p>
    <w:p>
      <w:pPr>
        <w:spacing w:line="4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鞋架升高 ……………………………………………150mm</w:t>
      </w:r>
    </w:p>
    <w:p>
      <w:pPr>
        <w:spacing w:line="4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6"/>
          <w:szCs w:val="26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>主要结构：</w:t>
      </w:r>
    </w:p>
    <w:p>
      <w:pPr>
        <w:spacing w:line="400" w:lineRule="exact"/>
        <w:ind w:firstLine="26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6"/>
          <w:szCs w:val="26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骨科牵引架由升降机构、牵引机构、床架等组成。</w:t>
      </w:r>
    </w:p>
    <w:p>
      <w:pPr>
        <w:pStyle w:val="5"/>
        <w:widowControl/>
        <w:spacing w:line="49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骨科牵引架的体位调节、牵引等均为人力操纵，机械传动和紧固。 </w:t>
      </w:r>
    </w:p>
    <w:p>
      <w:pPr>
        <w:pStyle w:val="5"/>
        <w:widowControl/>
        <w:spacing w:line="490" w:lineRule="exact"/>
        <w:ind w:firstLine="480" w:firstLineChars="200"/>
        <w:rPr>
          <w:rFonts w:hint="eastAsia" w:ascii="仿宋_GB2312" w:hAnsi="仿宋_GB2312" w:eastAsia="仿宋_GB2312" w:cs="仿宋_GB2312"/>
          <w:szCs w:val="21"/>
        </w:rPr>
      </w:pPr>
    </w:p>
    <w:p>
      <w:pPr>
        <w:pStyle w:val="5"/>
        <w:widowControl/>
        <w:spacing w:line="490" w:lineRule="exact"/>
        <w:ind w:firstLine="480" w:firstLineChars="200"/>
        <w:rPr>
          <w:rFonts w:hint="eastAsia" w:ascii="仿宋_GB2312" w:hAnsi="仿宋_GB2312" w:eastAsia="仿宋_GB2312" w:cs="仿宋_GB2312"/>
          <w:szCs w:val="21"/>
        </w:rPr>
      </w:pPr>
    </w:p>
    <w:p>
      <w:pPr>
        <w:pStyle w:val="5"/>
        <w:widowControl/>
        <w:spacing w:line="490" w:lineRule="exact"/>
        <w:ind w:firstLine="480" w:firstLineChars="200"/>
        <w:rPr>
          <w:rFonts w:hint="eastAsia" w:ascii="仿宋_GB2312" w:hAnsi="仿宋_GB2312" w:eastAsia="仿宋_GB2312" w:cs="仿宋_GB2312"/>
          <w:szCs w:val="21"/>
        </w:rPr>
      </w:pPr>
    </w:p>
    <w:p>
      <w:pPr>
        <w:pStyle w:val="5"/>
        <w:widowControl/>
        <w:spacing w:line="490" w:lineRule="exact"/>
        <w:ind w:firstLine="480" w:firstLineChars="200"/>
        <w:rPr>
          <w:rFonts w:hint="eastAsia" w:ascii="仿宋_GB2312" w:hAnsi="仿宋_GB2312" w:eastAsia="仿宋_GB2312" w:cs="仿宋_GB2312"/>
          <w:szCs w:val="21"/>
        </w:rPr>
      </w:pPr>
    </w:p>
    <w:p>
      <w:pPr>
        <w:pStyle w:val="5"/>
        <w:widowControl/>
        <w:spacing w:line="490" w:lineRule="exact"/>
        <w:ind w:firstLine="480" w:firstLineChars="200"/>
        <w:rPr>
          <w:rFonts w:hint="eastAsia" w:ascii="仿宋_GB2312" w:hAnsi="仿宋_GB2312" w:eastAsia="仿宋_GB2312" w:cs="仿宋_GB2312"/>
          <w:szCs w:val="21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1010920</wp:posOffset>
            </wp:positionV>
            <wp:extent cx="5269230" cy="3192780"/>
            <wp:effectExtent l="0" t="0" r="7620" b="7620"/>
            <wp:wrapThrough wrapText="bothSides">
              <wp:wrapPolygon>
                <wp:start x="0" y="0"/>
                <wp:lineTo x="0" y="21523"/>
                <wp:lineTo x="21553" y="21523"/>
                <wp:lineTo x="21553" y="0"/>
                <wp:lineTo x="0" y="0"/>
              </wp:wrapPolygon>
            </wp:wrapThrough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颅脑手术头架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tabs>
          <w:tab w:val="left" w:pos="5136"/>
        </w:tabs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ab/>
      </w:r>
    </w:p>
    <w:p>
      <w:pPr>
        <w:tabs>
          <w:tab w:val="left" w:pos="5136"/>
        </w:tabs>
        <w:jc w:val="left"/>
        <w:rPr>
          <w:rFonts w:hint="eastAsia" w:ascii="仿宋_GB2312" w:hAnsi="仿宋_GB2312" w:eastAsia="仿宋_GB2312" w:cs="仿宋_GB2312"/>
        </w:rPr>
      </w:pPr>
    </w:p>
    <w:p>
      <w:pPr>
        <w:tabs>
          <w:tab w:val="left" w:pos="5136"/>
        </w:tabs>
        <w:jc w:val="left"/>
        <w:rPr>
          <w:rFonts w:hint="eastAsia" w:ascii="仿宋_GB2312" w:hAnsi="仿宋_GB2312" w:eastAsia="仿宋_GB2312" w:cs="仿宋_GB2312"/>
        </w:rPr>
      </w:pPr>
    </w:p>
    <w:p>
      <w:pPr>
        <w:tabs>
          <w:tab w:val="left" w:pos="5136"/>
        </w:tabs>
        <w:jc w:val="left"/>
        <w:rPr>
          <w:rFonts w:hint="eastAsia" w:ascii="仿宋_GB2312" w:hAnsi="仿宋_GB2312" w:eastAsia="仿宋_GB2312" w:cs="仿宋_GB231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8"/>
        </w:rPr>
      </w:pPr>
    </w:p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</w:t>
      </w:r>
    </w:p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  <w:szCs w:val="21"/>
        </w:rPr>
      </w:pPr>
    </w:p>
    <w:tbl>
      <w:tblPr>
        <w:tblStyle w:val="6"/>
        <w:tblpPr w:leftFromText="180" w:rightFromText="180" w:vertAnchor="page" w:horzAnchor="margin" w:tblpXSpec="center" w:tblpY="8551"/>
        <w:tblOverlap w:val="never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758"/>
        <w:gridCol w:w="1758"/>
        <w:gridCol w:w="1994"/>
        <w:gridCol w:w="175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985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部件示意图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支架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7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万向球紧固手柄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8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轴顶端螺母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调节臂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插脚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调节曲拐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头托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曲拐锁紧手柄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万向球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二、功能与用途</w:t>
      </w:r>
    </w:p>
    <w:p>
      <w:pPr>
        <w:spacing w:line="480" w:lineRule="exact"/>
        <w:ind w:left="480" w:hanging="480" w:hanging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本套头架是与颅脑手术相配套使用的专用设备。此颅脑固定架能根据手术需要作前后、左右摆动、高低升降等任意调节，以便于取得最佳的头位和体位，方便了手术的操作和麻醉管理，对于手术顺利进行起着可靠的保证作用。是神经外科手术不可少的理想工具。</w:t>
      </w:r>
    </w:p>
    <w:p>
      <w:pPr>
        <w:spacing w:line="480" w:lineRule="exact"/>
        <w:ind w:left="482" w:hanging="482" w:hangingChars="200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三、技术参数</w:t>
      </w:r>
    </w:p>
    <w:p>
      <w:pPr>
        <w:spacing w:line="480" w:lineRule="exact"/>
        <w:ind w:left="480" w:hanging="480" w:hanging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前后移动量：350毫米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左右移动量：400毫米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上下升降量：350毫米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转  摆  角：不小于75°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安装中心距调节范围：190～590毫米</w:t>
      </w:r>
    </w:p>
    <w:p>
      <w:pPr>
        <w:spacing w:line="48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四、结构与性能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1.整套器械由基体、蹄形头托组成。根据手术需要，可任意组装使用。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2.器械采用曲柄连接杆结构,锁紧采用螺纹紧固,安全可靠。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3.整套器械设计合理,制作精细。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4.整体结构紧凑,体积小，使手术活动范围相对增大，从而减少了医师的体力。</w:t>
      </w:r>
    </w:p>
    <w:p>
      <w:pPr>
        <w:spacing w:line="480" w:lineRule="exact"/>
        <w:ind w:firstLine="73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5.器械的安装及调节简便,大大缩短了术前准备工作的时间。</w:t>
      </w:r>
    </w:p>
    <w:p>
      <w:pPr>
        <w:rPr>
          <w:rFonts w:hint="eastAsia" w:ascii="仿宋_GB2312" w:hAnsi="仿宋_GB2312" w:eastAsia="仿宋_GB2312" w:cs="仿宋_GB2312"/>
          <w:b/>
          <w:sz w:val="5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5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8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48"/>
        </w:rPr>
      </w:pPr>
    </w:p>
    <w:p>
      <w:pPr>
        <w:pStyle w:val="5"/>
        <w:widowControl/>
        <w:spacing w:line="49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F35B6"/>
    <w:multiLevelType w:val="singleLevel"/>
    <w:tmpl w:val="E81F35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5B"/>
    <w:rsid w:val="00007BB3"/>
    <w:rsid w:val="000178B3"/>
    <w:rsid w:val="00146A5B"/>
    <w:rsid w:val="00587BCA"/>
    <w:rsid w:val="005D6D95"/>
    <w:rsid w:val="005F65F3"/>
    <w:rsid w:val="006A767F"/>
    <w:rsid w:val="007E0635"/>
    <w:rsid w:val="00B43266"/>
    <w:rsid w:val="00CB37C2"/>
    <w:rsid w:val="00CE32C2"/>
    <w:rsid w:val="00EA6C99"/>
    <w:rsid w:val="1A560ABD"/>
    <w:rsid w:val="1E514DEE"/>
    <w:rsid w:val="23C66E12"/>
    <w:rsid w:val="2770019A"/>
    <w:rsid w:val="2A533910"/>
    <w:rsid w:val="2C0E2B6E"/>
    <w:rsid w:val="3D7156E9"/>
    <w:rsid w:val="44271988"/>
    <w:rsid w:val="58FA600B"/>
    <w:rsid w:val="66D3305F"/>
    <w:rsid w:val="69157C6C"/>
    <w:rsid w:val="70260B92"/>
    <w:rsid w:val="711C70D0"/>
    <w:rsid w:val="74625699"/>
    <w:rsid w:val="74724098"/>
    <w:rsid w:val="751F6B58"/>
    <w:rsid w:val="785B42C8"/>
    <w:rsid w:val="7AF3687B"/>
    <w:rsid w:val="7F7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253</Words>
  <Characters>1443</Characters>
  <Lines>12</Lines>
  <Paragraphs>3</Paragraphs>
  <TotalTime>1</TotalTime>
  <ScaleCrop>false</ScaleCrop>
  <LinksUpToDate>false</LinksUpToDate>
  <CharactersWithSpaces>1693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2021-08-06T03:44:00Z</dcterms:created>
  <dc:creator>Administrator</dc:creator>
  <cp:lastModifiedBy>Administrator</cp:lastModifiedBy>
  <cp:lastPrinted>2021-09-23T06:19:13Z</cp:lastPrinted>
  <dcterms:modified xsi:type="dcterms:W3CDTF">2021-09-23T06:20:26Z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CD3FCB72ED9B41038802B11E9AD84892</vt:lpwstr>
  </property>
</Properties>
</file>