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D7248">
      <w:pPr>
        <w:pStyle w:val="2"/>
        <w:jc w:val="left"/>
        <w:rPr>
          <w:rFonts w:hint="eastAsia" w:ascii="宋体" w:hAnsi="宋体" w:cs="宋体"/>
          <w:b/>
          <w:bCs/>
          <w:snapToGrid w:val="0"/>
          <w:kern w:val="0"/>
          <w:sz w:val="44"/>
          <w:szCs w:val="44"/>
          <w:lang w:val="en-US" w:eastAsia="zh-CN"/>
        </w:rPr>
      </w:pPr>
      <w:r>
        <w:rPr>
          <w:rFonts w:hint="eastAsia" w:ascii="宋体" w:hAnsi="宋体" w:cs="宋体"/>
          <w:snapToGrid w:val="0"/>
          <w:kern w:val="0"/>
          <w:sz w:val="28"/>
          <w:szCs w:val="28"/>
          <w:lang w:val="en-US" w:eastAsia="zh-CN"/>
        </w:rPr>
        <w:t>附件：</w:t>
      </w:r>
    </w:p>
    <w:p w14:paraId="0756A696">
      <w:pPr>
        <w:pStyle w:val="2"/>
        <w:jc w:val="center"/>
        <w:rPr>
          <w:rFonts w:hint="eastAsia" w:ascii="宋体" w:hAnsi="宋体" w:cs="宋体"/>
          <w:b/>
          <w:bCs/>
          <w:snapToGrid w:val="0"/>
          <w:kern w:val="0"/>
          <w:sz w:val="44"/>
          <w:szCs w:val="44"/>
          <w:lang w:val="en-US" w:eastAsia="zh-CN"/>
        </w:rPr>
      </w:pPr>
      <w:r>
        <w:rPr>
          <w:rFonts w:hint="eastAsia" w:ascii="宋体" w:hAnsi="宋体" w:cs="宋体"/>
          <w:b/>
          <w:bCs/>
          <w:snapToGrid w:val="0"/>
          <w:kern w:val="0"/>
          <w:sz w:val="44"/>
          <w:szCs w:val="44"/>
          <w:lang w:val="en-US" w:eastAsia="zh-CN"/>
        </w:rPr>
        <w:t>采购内容及要求</w:t>
      </w:r>
    </w:p>
    <w:p w14:paraId="12DAC3AF">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w:t>
      </w:r>
      <w:r>
        <w:rPr>
          <w:rFonts w:hint="eastAsia" w:ascii="仿宋_GB2312" w:hAnsi="仿宋_GB2312" w:eastAsia="仿宋_GB2312" w:cs="仿宋_GB2312"/>
          <w:snapToGrid w:val="0"/>
          <w:kern w:val="0"/>
          <w:sz w:val="30"/>
          <w:szCs w:val="30"/>
        </w:rPr>
        <w:t>本项目的特定资格要求：如是生产商或制造商投标需提供医疗器械生产许可证，如是代理商或经销商投标需提供医疗器械经营许可证</w:t>
      </w:r>
      <w:r>
        <w:rPr>
          <w:rFonts w:hint="eastAsia" w:ascii="仿宋_GB2312" w:hAnsi="仿宋_GB2312" w:eastAsia="仿宋_GB2312" w:cs="仿宋_GB2312"/>
          <w:snapToGrid w:val="0"/>
          <w:kern w:val="0"/>
          <w:sz w:val="30"/>
          <w:szCs w:val="30"/>
          <w:lang w:val="en-US" w:eastAsia="zh-CN"/>
        </w:rPr>
        <w:t>或二类医疗器械备案凭证；提供辐射安全许可证。</w:t>
      </w:r>
    </w:p>
    <w:p w14:paraId="360090C2">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技术要求：</w:t>
      </w:r>
    </w:p>
    <w:p w14:paraId="387A342D">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1、投标方保证液氦订购需求，并保证液氦产品符合国家的质量标准。完成供液后，应由双方代表在《液氦供应记录单》中签字确认，双方签字后即视为验收合格。</w:t>
      </w:r>
    </w:p>
    <w:p w14:paraId="6E7E1288">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2、若加液前磁体处于正常状态下，加液过程中发生失超及与之相关的事故，则由投标方承担相应责任，投标方将无偿为该设备恢复原状。</w:t>
      </w:r>
    </w:p>
    <w:p w14:paraId="139CA407">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★3、承诺对该核磁共振送一年技术保修，工程师2小时到达现场。</w:t>
      </w:r>
    </w:p>
    <w:p w14:paraId="2DA93E6E">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维保要求：明确维修、保养内容的报告单、工程师现场维保资料。对设备提供每年≥2次的定期维护与保养，定期的维护保养服务包括：设备的安全检查、影像质量检查、设备清洁保养、性能测试及校准、运行状态检查、质控服务等；以及非紧急性质的预防</w:t>
      </w:r>
      <w:bookmarkStart w:id="1" w:name="_GoBack"/>
      <w:bookmarkEnd w:id="1"/>
      <w:r>
        <w:rPr>
          <w:rFonts w:hint="eastAsia" w:ascii="仿宋_GB2312" w:hAnsi="仿宋_GB2312" w:eastAsia="仿宋_GB2312" w:cs="仿宋_GB2312"/>
          <w:snapToGrid w:val="0"/>
          <w:kern w:val="0"/>
          <w:sz w:val="30"/>
          <w:szCs w:val="30"/>
          <w:lang w:val="en-US" w:eastAsia="zh-CN"/>
        </w:rPr>
        <w:t>性维护和确保系统能按照设备的产品规范运行的其他维护，并定期对设备的数据进行备份，确保系统能按照设备制造商的产品标准来运行。每次巡检后须提供巡检报告，包含但不仅限于现场照片、故障现象、 解决方案、配件更换记录等内容。</w:t>
      </w:r>
    </w:p>
    <w:p w14:paraId="6A50A042">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（1）根据设备运行要求提供不限次数的人工技术服务。</w:t>
      </w:r>
    </w:p>
    <w:p w14:paraId="2B264EAC">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（2）提供在线支持：协助采购人技师分析及处理有关问题。采购人在电话报修后提供远程支持，资深工程师在线支持、答疑，及时诊断机器故障原因，定制维修方案。</w:t>
      </w:r>
    </w:p>
    <w:p w14:paraId="5F3F10CF">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（3）远程诊断：服务期内，经采购人同意后工程师可以通过网络与医院系统进行连接，从而执行维护和故障排除的任务。</w:t>
      </w:r>
    </w:p>
    <w:p w14:paraId="632B1FAD">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4）维修时效要求：供应商具备客户服务专线电话，24小时*365天响应，维修热线24小时畅通。电话响应时间在30分钟内，到达现场响应时间≤2小时，维修不涉及零配件更换应≤24小时修复完毕，更换配件的情况下，配件物流到达时间≤48小时，达到现场后≤12小时修复设备。（以上不可抗力因素除外）</w:t>
      </w:r>
    </w:p>
    <w:p w14:paraId="7EFAE2D3">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（5）供应商须确保开机率≥95%，按一年365天计算。若设备开机率低于 95%时，停机时间超过一天顺延5天维保期；如开机率低于90%时，停机时间超过一天顺延5天维保期。</w:t>
      </w:r>
    </w:p>
    <w:p w14:paraId="0D63E455">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（6）供应商对设备使用相关技术人员进行免费培训，使其熟练使用该设备，并进行日常维护和保养和性能检测。</w:t>
      </w:r>
    </w:p>
    <w:p w14:paraId="39173757">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（7）配件及时性要求：供应商必需设有专业的零备件仓库，仓储有同类型设备零备件，并在响应文件中提供相应的进销存证明资料及备件仓库备置证明资料。</w:t>
      </w:r>
    </w:p>
    <w:p w14:paraId="7BB61850">
      <w:pPr>
        <w:rPr>
          <w:rFonts w:hint="default"/>
          <w:lang w:val="en-US" w:eastAsia="zh-CN"/>
        </w:rPr>
      </w:pPr>
      <w:bookmarkStart w:id="0" w:name="bookmark12"/>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BDAFC">
    <w:pPr>
      <w:pStyle w:val="2"/>
      <w:spacing w:line="209" w:lineRule="auto"/>
      <w:ind w:left="22"/>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Njc4MmM0NDkwMjNlMGU5ZGE4ZTEyMjJhZjcyNmQifQ=="/>
  </w:docVars>
  <w:rsids>
    <w:rsidRoot w:val="47806D6E"/>
    <w:rsid w:val="03117A2D"/>
    <w:rsid w:val="37333236"/>
    <w:rsid w:val="4780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962</Words>
  <Characters>979</Characters>
  <Lines>0</Lines>
  <Paragraphs>0</Paragraphs>
  <TotalTime>16</TotalTime>
  <ScaleCrop>false</ScaleCrop>
  <LinksUpToDate>false</LinksUpToDate>
  <CharactersWithSpaces>981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2024-10-11T02:47:00Z</dcterms:created>
  <dc:creator>小橙菜奈。</dc:creator>
  <cp:lastModifiedBy>小橙菜奈。</cp:lastModifiedBy>
  <dcterms:modified xsi:type="dcterms:W3CDTF">2024-10-21T00:57:49Z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62559951C2864280BC0ED209ED626804_13</vt:lpwstr>
  </property>
</Properties>
</file>