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D7248">
      <w:pPr>
        <w:pStyle w:val="2"/>
        <w:jc w:val="left"/>
        <w:rPr>
          <w:rFonts w:hint="eastAsia" w:ascii="宋体" w:hAnsi="宋体" w:cs="宋体"/>
          <w:b/>
          <w:bCs/>
          <w:snapToGrid w:val="0"/>
          <w:kern w:val="0"/>
          <w:sz w:val="44"/>
          <w:szCs w:val="44"/>
          <w:lang w:val="en-US" w:eastAsia="zh-CN"/>
        </w:rPr>
      </w:pPr>
      <w:r>
        <w:rPr>
          <w:rFonts w:hint="eastAsia" w:ascii="宋体" w:hAnsi="宋体" w:cs="宋体"/>
          <w:snapToGrid w:val="0"/>
          <w:kern w:val="0"/>
          <w:sz w:val="28"/>
          <w:szCs w:val="28"/>
          <w:lang w:val="en-US" w:eastAsia="zh-CN"/>
        </w:rPr>
        <w:t>附件：</w:t>
      </w:r>
    </w:p>
    <w:p w14:paraId="0756A696">
      <w:pPr>
        <w:pStyle w:val="2"/>
        <w:jc w:val="center"/>
        <w:rPr>
          <w:rFonts w:hint="eastAsia" w:ascii="宋体" w:hAnsi="宋体" w:cs="宋体"/>
          <w:b/>
          <w:bCs/>
          <w:snapToGrid w:val="0"/>
          <w:kern w:val="0"/>
          <w:sz w:val="44"/>
          <w:szCs w:val="44"/>
          <w:lang w:val="en-US" w:eastAsia="zh-CN"/>
        </w:rPr>
      </w:pPr>
      <w:r>
        <w:rPr>
          <w:rFonts w:hint="eastAsia" w:ascii="宋体" w:hAnsi="宋体" w:cs="宋体"/>
          <w:b/>
          <w:bCs/>
          <w:snapToGrid w:val="0"/>
          <w:kern w:val="0"/>
          <w:sz w:val="44"/>
          <w:szCs w:val="44"/>
          <w:lang w:val="en-US" w:eastAsia="zh-CN"/>
        </w:rPr>
        <w:t>采购内容及要求</w:t>
      </w:r>
    </w:p>
    <w:p w14:paraId="12DAC3AF">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w:t>
      </w:r>
      <w:r>
        <w:rPr>
          <w:rFonts w:hint="eastAsia" w:ascii="仿宋_GB2312" w:hAnsi="仿宋_GB2312" w:eastAsia="仿宋_GB2312" w:cs="仿宋_GB2312"/>
          <w:snapToGrid w:val="0"/>
          <w:kern w:val="0"/>
          <w:sz w:val="30"/>
          <w:szCs w:val="30"/>
        </w:rPr>
        <w:t>本项目的特定资格要求：如是生产商或制造商投标需提供医疗器械生产许可证，如是代理商或经销商投标需提供医疗器械经营许可证</w:t>
      </w:r>
      <w:r>
        <w:rPr>
          <w:rFonts w:hint="eastAsia" w:ascii="仿宋_GB2312" w:hAnsi="仿宋_GB2312" w:eastAsia="仿宋_GB2312" w:cs="仿宋_GB2312"/>
          <w:snapToGrid w:val="0"/>
          <w:kern w:val="0"/>
          <w:sz w:val="30"/>
          <w:szCs w:val="30"/>
          <w:lang w:val="en-US" w:eastAsia="zh-CN"/>
        </w:rPr>
        <w:t>或二类医疗器械备案凭证。</w:t>
      </w:r>
      <w:bookmarkStart w:id="1" w:name="_GoBack"/>
      <w:bookmarkEnd w:id="1"/>
    </w:p>
    <w:p w14:paraId="360090C2">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技术要求：</w:t>
      </w:r>
    </w:p>
    <w:p w14:paraId="387A342D">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1、投标方保证液氦订购需求，并保证液氦产品符合国家的质量标准。完成供液后，应由双方代表在《液氦供应记录单》中签字确认，双方签字后即视为验收合格。</w:t>
      </w:r>
    </w:p>
    <w:p w14:paraId="6E7E1288">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2、若加液前磁体处于正常状态下，加液过程中发生失超及与之相关的事故，则由投标方承担相应责任，投标方将无偿为该设备恢复原状。</w:t>
      </w:r>
    </w:p>
    <w:p w14:paraId="139CA407">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★3、承诺对该核磁共振送一年技术保修，工程师2小时到达现场。</w:t>
      </w:r>
    </w:p>
    <w:p w14:paraId="2DA93E6E">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维保要求：明确维修、保养内容的报告单、工程师现场维保资料。对设备提供每年≥2次的定期维护与保养，定期的维护保养服务包括：设备的安全检查、影像质量检查、设备清洁保养、性能测试及校准、运行状态检查、质控服务等；以及非紧急性质的预防性维护和确保系统能按照设备的产品规范运行的其他维护，并定期对设备的数据进行备份，确保系统能按照设备制造商的产品标准来运行。每次巡检后须提供巡检报告，包含但不仅限于现场照片、故障现象、 解决方案、配件更换记录等内容。</w:t>
      </w:r>
    </w:p>
    <w:p w14:paraId="6A50A042">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（1）根据设备运行要求提供不限次数的人工技术服务。</w:t>
      </w:r>
    </w:p>
    <w:p w14:paraId="2B264EAC">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（2）提供在线支持：协助采购人技师分析及处理有关问题。采购人在电话报修后提供远程支持，资深工程师在线支持、答疑，及时诊断机器故障原因，定制维修方案。</w:t>
      </w:r>
    </w:p>
    <w:p w14:paraId="5F3F10CF">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（3）远程诊断：服务期内，经采购人同意后工程师可以通过网络与医院系统进行连接，从而执行维护和故障排除的任务。</w:t>
      </w:r>
    </w:p>
    <w:p w14:paraId="632B1FAD">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4）维修时效要求：供应商具备客户服务专线电话，24小时*365天响应，维修热线24小时畅通。电话响应时间在30分钟内，到达现场响应时间≤2小时，维修不涉及零配件更换应≤24小时修复完毕，更换配件的情况下，配件物流到达时间≤48小时，达到现场后≤12小时修复设备。（以上不可抗力因素除外）</w:t>
      </w:r>
    </w:p>
    <w:p w14:paraId="7EFAE2D3">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（5）供应商须确保开机率≥95%，按一年365天计算。若设备开机率低于 95%时，停机时间超过一天顺延5天维保期；如开机率低于90%时，停机时间超过一天顺延5天维保期。</w:t>
      </w:r>
    </w:p>
    <w:p w14:paraId="0D63E455">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（6）供应商对设备使用相关技术人员进行免费培训，使其熟练使用该设备，并进行日常维护和保养和性能检测。</w:t>
      </w:r>
    </w:p>
    <w:p w14:paraId="39173757">
      <w:pPr>
        <w:pStyle w:val="2"/>
        <w:jc w:val="left"/>
        <w:rPr>
          <w:rFonts w:hint="eastAsia" w:ascii="仿宋_GB2312" w:hAnsi="仿宋_GB2312" w:eastAsia="仿宋_GB2312" w:cs="仿宋_GB2312"/>
          <w:snapToGrid w:val="0"/>
          <w:kern w:val="0"/>
          <w:sz w:val="30"/>
          <w:szCs w:val="30"/>
          <w:lang w:val="en-US" w:eastAsia="zh-CN"/>
        </w:rPr>
      </w:pPr>
      <w:r>
        <w:rPr>
          <w:rFonts w:hint="eastAsia" w:ascii="仿宋_GB2312" w:hAnsi="仿宋_GB2312" w:eastAsia="仿宋_GB2312" w:cs="仿宋_GB2312"/>
          <w:snapToGrid w:val="0"/>
          <w:kern w:val="0"/>
          <w:sz w:val="30"/>
          <w:szCs w:val="30"/>
          <w:lang w:val="en-US" w:eastAsia="zh-CN"/>
        </w:rPr>
        <w:t>（7）配件及时性要求：供应商必需设有专业的零备件仓库，仓储有同类型设备零备件，并在响应文件中提供相应的进销存证明资料及备件仓库备置证明资料。</w:t>
      </w:r>
    </w:p>
    <w:p w14:paraId="7BB61850">
      <w:pPr>
        <w:rPr>
          <w:rFonts w:hint="default"/>
          <w:lang w:val="en-US" w:eastAsia="zh-CN"/>
        </w:rPr>
      </w:pPr>
      <w:bookmarkStart w:id="0" w:name="bookmark12"/>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DAFC">
    <w:pPr>
      <w:pStyle w:val="2"/>
      <w:spacing w:line="209" w:lineRule="auto"/>
      <w:ind w:left="22"/>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jc4MmM0NDkwMjNlMGU5ZGE4ZTEyMjJhZjcyNmQifQ=="/>
  </w:docVars>
  <w:rsids>
    <w:rsidRoot w:val="47806D6E"/>
    <w:rsid w:val="03117A2D"/>
    <w:rsid w:val="1D576A65"/>
    <w:rsid w:val="37333236"/>
    <w:rsid w:val="4780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961</Words>
  <Characters>978</Characters>
  <Lines>0</Lines>
  <Paragraphs>0</Paragraphs>
  <TotalTime>16</TotalTime>
  <ScaleCrop>false</ScaleCrop>
  <LinksUpToDate>false</LinksUpToDate>
  <CharactersWithSpaces>980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2024-10-11T02:47:00Z</dcterms:created>
  <dc:creator>小橙菜奈。</dc:creator>
  <cp:lastModifiedBy>小橙菜奈。</cp:lastModifiedBy>
  <dcterms:modified xsi:type="dcterms:W3CDTF">2024-10-23T02:31:04Z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62559951C2864280BC0ED209ED626804_13</vt:lpwstr>
  </property>
</Properties>
</file>