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14:textFill>
            <w14:solidFill>
              <w14:schemeClr w14:val="tx1"/>
            </w14:solidFill>
          </w14:textFill>
        </w:rPr>
        <w:t>福泉市第一人民医院</w:t>
      </w:r>
    </w:p>
    <w:p w14:paraId="5B9B0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医保信息平台挂号、就医费用结算定点医疗机构接口规范内容与参数</w:t>
      </w:r>
    </w:p>
    <w:p w14:paraId="192244FD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一、建设内容步骤：</w:t>
      </w:r>
    </w:p>
    <w:p w14:paraId="76F5BDD8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《贵州省医保信息平台挂号、就医费用结算定点医疗机构接口规范V1.0.8》、《省医保局关于印发接入国家医保服务平台APP地方专区试点定点医疗机构名单的通知》，等技术标准实现医保费用结算具体步骤如下:</w:t>
      </w:r>
    </w:p>
    <w:p w14:paraId="330FC7F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1.试点医疗机构在国家医保服务平台(网上办事大厅)，申请国家医保APP和贵州医保APP线上移动支付测试反馈单。</w:t>
      </w:r>
    </w:p>
    <w:p w14:paraId="38A9A55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2.试点医疗机构按照《贵州省医保信息平台挂号、就医费用结算定点医疗机构接口规范》，完成接口开发工作。</w:t>
      </w:r>
    </w:p>
    <w:p w14:paraId="016B56B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试点医疗机构提供医院名称、医院医保国家编码、医院地址、医院联系电话（公众电话）、医院所在医保区划、医院等级、国家医保服务平台申请的测试反馈单(国家医保APP和贵州医保APP渠道测试反馈单)、医院挂缴查完整接口地址(确保通过医保专网能访问到医院部署的挂缴查服务)等信息。</w:t>
      </w:r>
    </w:p>
    <w:p w14:paraId="72A36B8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4.试点医疗机构下载国家医保APP/贵州医保APP测试版，进行业务联调测试（国家医保APP  ：主页-地方专区-诊疗服务:贵州医保APP入口：主页-诊疗服务)。</w:t>
      </w:r>
    </w:p>
    <w:p w14:paraId="0FDDF4F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5.测试完成后，试点医疗机构录屏测试情况上传至国家医保服务平台，申请国家医保APP和贵州医保APP两个不同的渠道正式反馈单。</w:t>
      </w:r>
    </w:p>
    <w:p w14:paraId="564DA99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6.签订合同后立即施工，施工日期为7个工作日。</w:t>
      </w:r>
    </w:p>
    <w:p w14:paraId="7DD727B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0792448">
      <w:pPr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二、接口规则</w:t>
      </w:r>
    </w:p>
    <w:p w14:paraId="74FC84A5">
      <w:pPr>
        <w:numPr>
          <w:ilvl w:val="0"/>
          <w:numId w:val="0"/>
        </w:num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协议规则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209"/>
      </w:tblGrid>
      <w:tr w14:paraId="4A46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</w:tcPr>
          <w:p w14:paraId="43234092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规则 </w:t>
            </w:r>
          </w:p>
        </w:tc>
        <w:tc>
          <w:tcPr>
            <w:tcW w:w="7209" w:type="dxa"/>
          </w:tcPr>
          <w:p w14:paraId="7F8A15E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规则描述</w:t>
            </w:r>
          </w:p>
        </w:tc>
      </w:tr>
      <w:tr w14:paraId="4195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</w:tcPr>
          <w:p w14:paraId="6DA34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传输方式</w:t>
            </w:r>
          </w:p>
        </w:tc>
        <w:tc>
          <w:tcPr>
            <w:tcW w:w="7209" w:type="dxa"/>
          </w:tcPr>
          <w:p w14:paraId="35EEA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为保证交易安全性，采用 HTTP 传输 </w:t>
            </w:r>
          </w:p>
        </w:tc>
      </w:tr>
      <w:tr w14:paraId="5BF2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</w:tcPr>
          <w:p w14:paraId="04B14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提交方式</w:t>
            </w:r>
          </w:p>
        </w:tc>
        <w:tc>
          <w:tcPr>
            <w:tcW w:w="7209" w:type="dxa"/>
          </w:tcPr>
          <w:p w14:paraId="7564B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 POST 方法提交</w:t>
            </w:r>
          </w:p>
        </w:tc>
      </w:tr>
      <w:tr w14:paraId="3A81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</w:tcPr>
          <w:p w14:paraId="13EDF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数据格式 </w:t>
            </w:r>
          </w:p>
        </w:tc>
        <w:tc>
          <w:tcPr>
            <w:tcW w:w="7209" w:type="dxa"/>
          </w:tcPr>
          <w:p w14:paraId="567AC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提交和返回数据都为 JSON 格式 </w:t>
            </w:r>
          </w:p>
        </w:tc>
      </w:tr>
      <w:tr w14:paraId="0692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</w:tcPr>
          <w:p w14:paraId="1A74E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字符编码</w:t>
            </w:r>
          </w:p>
        </w:tc>
        <w:tc>
          <w:tcPr>
            <w:tcW w:w="7209" w:type="dxa"/>
          </w:tcPr>
          <w:p w14:paraId="4341C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统一采用 UTF-8 字符编码 </w:t>
            </w:r>
          </w:p>
        </w:tc>
      </w:tr>
      <w:tr w14:paraId="51C3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</w:tcPr>
          <w:p w14:paraId="3CC191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签名算法 </w:t>
            </w:r>
          </w:p>
        </w:tc>
        <w:tc>
          <w:tcPr>
            <w:tcW w:w="7209" w:type="dxa"/>
          </w:tcPr>
          <w:p w14:paraId="0286D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SM2</w:t>
            </w:r>
          </w:p>
        </w:tc>
      </w:tr>
      <w:tr w14:paraId="228F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</w:tcPr>
          <w:p w14:paraId="4D1595A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加密算法</w:t>
            </w:r>
          </w:p>
        </w:tc>
        <w:tc>
          <w:tcPr>
            <w:tcW w:w="7209" w:type="dxa"/>
          </w:tcPr>
          <w:p w14:paraId="76AA3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SM4 </w:t>
            </w:r>
          </w:p>
        </w:tc>
      </w:tr>
      <w:tr w14:paraId="10AB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</w:tcPr>
          <w:p w14:paraId="08D84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签名要求</w:t>
            </w:r>
          </w:p>
        </w:tc>
        <w:tc>
          <w:tcPr>
            <w:tcW w:w="7209" w:type="dxa"/>
          </w:tcPr>
          <w:p w14:paraId="427A8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请求和接收数据均需要校验签名，详细方法请参考安全规范-签名算法 </w:t>
            </w:r>
          </w:p>
        </w:tc>
      </w:tr>
      <w:tr w14:paraId="7586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</w:tcPr>
          <w:p w14:paraId="3FF21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加密要求 </w:t>
            </w:r>
          </w:p>
        </w:tc>
        <w:tc>
          <w:tcPr>
            <w:tcW w:w="7209" w:type="dxa"/>
          </w:tcPr>
          <w:p w14:paraId="45E67B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请求和接收数据均需要校验签名，详细方法请参考安全规范-加密算法 </w:t>
            </w:r>
          </w:p>
        </w:tc>
      </w:tr>
      <w:tr w14:paraId="4B3A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</w:tcPr>
          <w:p w14:paraId="15432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判断逻辑</w:t>
            </w:r>
          </w:p>
        </w:tc>
        <w:tc>
          <w:tcPr>
            <w:tcW w:w="7209" w:type="dxa"/>
          </w:tcPr>
          <w:p w14:paraId="004BE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先判断协议字段返回，再判断业务返回，最后判断交易状态 </w:t>
            </w:r>
          </w:p>
        </w:tc>
      </w:tr>
    </w:tbl>
    <w:p w14:paraId="2081C043">
      <w:pPr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CF2B500">
      <w:pPr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三、接口方案</w:t>
      </w:r>
    </w:p>
    <w:p w14:paraId="3F4AE06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供应商必须根据采购人需求，提供合理可行的整体接口方案和具体实现方式，接口方案优劣将作为评审重要依据。采购人将结合各供应商接口方案完整程度选择适合的供应商。</w:t>
      </w:r>
    </w:p>
    <w:p w14:paraId="6C9B4FE1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60D3C"/>
    <w:rsid w:val="57326FFB"/>
    <w:rsid w:val="711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742</Characters>
  <Lines>0</Lines>
  <Paragraphs>0</Paragraphs>
  <TotalTime>0</TotalTime>
  <ScaleCrop>false</ScaleCrop>
  <LinksUpToDate>false</LinksUpToDate>
  <CharactersWithSpaces>763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2024-12-31T06:33:00Z</dcterms:created>
  <dc:creator>小橙菜奈。</dc:creator>
  <cp:lastModifiedBy>小橙菜奈。</cp:lastModifiedBy>
  <cp:lastPrinted>2024-12-31T06:35:00Z</cp:lastPrinted>
  <dcterms:modified xsi:type="dcterms:W3CDTF">2024-12-31T07:37:54Z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E48C1DA86C284B379F36456508C83BFD_11</vt:lpwstr>
  </property>
  <property fmtid="{D5CDD505-2E9C-101B-9397-08002B2CF9AE}" pid="4" name="KSOTemplateDocerSaveRecord">
    <vt:lpwstr>eyJoZGlkIjoiYjc5Njc4MmM0NDkwMjNlMGU5ZGE4ZTEyMjJhZjcyNmQiLCJ1c2VySWQiOiIyNjgxODg3MTIifQ==</vt:lpwstr>
  </property>
</Properties>
</file>