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46F66">
      <w:pPr>
        <w:spacing w:line="360" w:lineRule="auto"/>
        <w:rPr>
          <w:rFonts w:hint="eastAsia"/>
          <w:b/>
          <w:bCs/>
          <w:color w:val="000000" w:themeColor="text1"/>
          <w:sz w:val="32"/>
          <w:szCs w:val="32"/>
          <w14:textFill>
            <w14:solidFill>
              <w14:schemeClr w14:val="tx1"/>
            </w14:solidFill>
          </w14:textFill>
        </w:rPr>
      </w:pPr>
      <w:r>
        <w:rPr>
          <w:rFonts w:hint="eastAsia"/>
          <w:b w:val="0"/>
          <w:bCs w:val="0"/>
          <w:color w:val="000000" w:themeColor="text1"/>
          <w:sz w:val="22"/>
          <w:szCs w:val="22"/>
          <w14:textFill>
            <w14:solidFill>
              <w14:schemeClr w14:val="tx1"/>
            </w14:solidFill>
          </w14:textFill>
        </w:rPr>
        <w:t>附件</w:t>
      </w:r>
      <w:r>
        <w:rPr>
          <w:rFonts w:hint="eastAsia"/>
          <w:b w:val="0"/>
          <w:bCs w:val="0"/>
          <w:color w:val="000000" w:themeColor="text1"/>
          <w:sz w:val="22"/>
          <w:szCs w:val="22"/>
          <w:lang w:val="en-US" w:eastAsia="zh-CN"/>
          <w14:textFill>
            <w14:solidFill>
              <w14:schemeClr w14:val="tx1"/>
            </w14:solidFill>
          </w14:textFill>
        </w:rPr>
        <w:t>3</w:t>
      </w:r>
      <w:r>
        <w:rPr>
          <w:rFonts w:hint="eastAsia"/>
          <w:b w:val="0"/>
          <w:bCs w:val="0"/>
          <w:color w:val="000000" w:themeColor="text1"/>
          <w:sz w:val="22"/>
          <w:szCs w:val="22"/>
          <w14:textFill>
            <w14:solidFill>
              <w14:schemeClr w14:val="tx1"/>
            </w14:solidFill>
          </w14:textFill>
        </w:rPr>
        <w:t xml:space="preserve">：      </w:t>
      </w:r>
      <w:r>
        <w:rPr>
          <w:rFonts w:hint="eastAsia"/>
          <w:b/>
          <w:bCs/>
          <w:color w:val="000000" w:themeColor="text1"/>
          <w:sz w:val="32"/>
          <w:szCs w:val="32"/>
          <w14:textFill>
            <w14:solidFill>
              <w14:schemeClr w14:val="tx1"/>
            </w14:solidFill>
          </w14:textFill>
        </w:rPr>
        <w:t xml:space="preserve">     </w:t>
      </w:r>
    </w:p>
    <w:p w14:paraId="018F4EE4">
      <w:pPr>
        <w:spacing w:line="360" w:lineRule="auto"/>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福泉市第一人民医院</w:t>
      </w:r>
    </w:p>
    <w:p w14:paraId="71D22038">
      <w:pPr>
        <w:spacing w:line="360" w:lineRule="auto"/>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网络安全软件维保与扩容项目采购参数</w:t>
      </w:r>
    </w:p>
    <w:p w14:paraId="252B08AC">
      <w:pPr>
        <w:spacing w:line="360" w:lineRule="auto"/>
        <w:jc w:val="center"/>
        <w:rPr>
          <w:b/>
          <w:bCs/>
          <w:color w:val="000000" w:themeColor="text1"/>
          <w:sz w:val="32"/>
          <w:szCs w:val="32"/>
          <w14:textFill>
            <w14:solidFill>
              <w14:schemeClr w14:val="tx1"/>
            </w14:solidFill>
          </w14:textFill>
        </w:rPr>
      </w:pPr>
      <w:bookmarkStart w:id="0" w:name="_GoBack"/>
      <w:bookmarkEnd w:id="0"/>
    </w:p>
    <w:p w14:paraId="7EF864F4">
      <w:pPr>
        <w:spacing w:line="48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1.网络版防毒软件</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b/>
          <w:bCs/>
          <w:color w:val="000000" w:themeColor="text1"/>
          <w:sz w:val="24"/>
          <w14:textFill>
            <w14:solidFill>
              <w14:schemeClr w14:val="tx1"/>
            </w14:solidFill>
          </w14:textFill>
        </w:rPr>
        <w:t>原</w:t>
      </w:r>
      <w:r>
        <w:rPr>
          <w:rFonts w:hint="eastAsia" w:ascii="宋体" w:hAnsi="宋体" w:eastAsia="宋体" w:cs="宋体"/>
          <w:color w:val="000000" w:themeColor="text1"/>
          <w:sz w:val="24"/>
          <w14:textFill>
            <w14:solidFill>
              <w14:schemeClr w14:val="tx1"/>
            </w14:solidFill>
          </w14:textFill>
        </w:rPr>
        <w:t>：亚信安全防毒墙网络版软件 OfficeScan V12.0-客户机与服务器防护</w:t>
      </w:r>
      <w:r>
        <w:rPr>
          <w:rFonts w:hint="eastAsia" w:ascii="宋体" w:hAnsi="宋体" w:eastAsia="宋体" w:cs="宋体"/>
          <w:b/>
          <w:bCs/>
          <w:color w:val="000000" w:themeColor="text1"/>
          <w:sz w:val="24"/>
          <w14:textFill>
            <w14:solidFill>
              <w14:schemeClr w14:val="tx1"/>
            </w14:solidFill>
          </w14:textFill>
        </w:rPr>
        <w:t>升级到亚信安全信端端点安全管理软件 TrustOne V9.0新版本</w:t>
      </w:r>
      <w:r>
        <w:rPr>
          <w:rFonts w:hint="eastAsia" w:ascii="宋体" w:hAnsi="宋体" w:eastAsia="宋体" w:cs="宋体"/>
          <w:b/>
          <w:bCs/>
          <w:color w:val="000000" w:themeColor="text1"/>
          <w:sz w:val="24"/>
          <w:lang w:eastAsia="zh-CN"/>
          <w14:textFill>
            <w14:solidFill>
              <w14:schemeClr w14:val="tx1"/>
            </w14:solidFill>
          </w14:textFill>
        </w:rPr>
        <w:t>（</w:t>
      </w:r>
      <w:r>
        <w:rPr>
          <w:rFonts w:hint="eastAsia" w:ascii="宋体" w:hAnsi="宋体" w:eastAsia="宋体" w:cs="宋体"/>
          <w:b/>
          <w:bCs/>
          <w:color w:val="000000" w:themeColor="text1"/>
          <w:sz w:val="24"/>
          <w:lang w:val="en-US" w:eastAsia="zh-CN"/>
          <w14:textFill>
            <w14:solidFill>
              <w14:schemeClr w14:val="tx1"/>
            </w14:solidFill>
          </w14:textFill>
        </w:rPr>
        <w:t>需支持信创）</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400</w:t>
      </w:r>
      <w:r>
        <w:rPr>
          <w:rFonts w:hint="eastAsia" w:ascii="宋体" w:hAnsi="宋体" w:eastAsia="宋体" w:cs="宋体"/>
          <w:color w:val="000000" w:themeColor="text1"/>
          <w:sz w:val="24"/>
          <w14:textFill>
            <w14:solidFill>
              <w14:schemeClr w14:val="tx1"/>
            </w14:solidFill>
          </w14:textFill>
        </w:rPr>
        <w:t>客户端软件维保及续费）具体参数要求如下：</w:t>
      </w:r>
    </w:p>
    <w:tbl>
      <w:tblPr>
        <w:tblStyle w:val="4"/>
        <w:tblW w:w="8290"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110"/>
        <w:gridCol w:w="7180"/>
      </w:tblGrid>
      <w:tr w14:paraId="2743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05" w:hRule="atLeast"/>
        </w:trPr>
        <w:tc>
          <w:tcPr>
            <w:tcW w:w="1110" w:type="dxa"/>
            <w:shd w:val="clear" w:color="auto" w:fill="FFFFFF" w:themeFill="background1"/>
            <w:noWrap/>
            <w:vAlign w:val="center"/>
          </w:tcPr>
          <w:p w14:paraId="1A45E6DE">
            <w:pPr>
              <w:widowControl/>
              <w:jc w:val="center"/>
              <w:textAlignment w:val="center"/>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功能项</w:t>
            </w:r>
          </w:p>
        </w:tc>
        <w:tc>
          <w:tcPr>
            <w:tcW w:w="7180" w:type="dxa"/>
            <w:shd w:val="clear" w:color="auto" w:fill="FFFFFF" w:themeFill="background1"/>
            <w:vAlign w:val="center"/>
          </w:tcPr>
          <w:p w14:paraId="06B6A0CD">
            <w:pPr>
              <w:widowControl/>
              <w:jc w:val="center"/>
              <w:textAlignment w:val="center"/>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详细描述</w:t>
            </w:r>
          </w:p>
        </w:tc>
      </w:tr>
      <w:tr w14:paraId="16FA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110" w:type="dxa"/>
            <w:vMerge w:val="restart"/>
            <w:shd w:val="clear" w:color="auto" w:fill="FFFFFF" w:themeFill="background1"/>
            <w:noWrap/>
            <w:vAlign w:val="center"/>
          </w:tcPr>
          <w:p w14:paraId="67F4BD13">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管理</w:t>
            </w:r>
          </w:p>
        </w:tc>
        <w:tc>
          <w:tcPr>
            <w:tcW w:w="7180" w:type="dxa"/>
            <w:shd w:val="clear" w:color="auto" w:fill="FFFFFF" w:themeFill="background1"/>
            <w:vAlign w:val="center"/>
          </w:tcPr>
          <w:p w14:paraId="33066269">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支持通过HTTPS方式登录管理控制台，管理控制台访问需进行加密访问；</w:t>
            </w:r>
          </w:p>
        </w:tc>
      </w:tr>
      <w:tr w14:paraId="4C19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110" w:type="dxa"/>
            <w:vMerge w:val="continue"/>
            <w:shd w:val="clear" w:color="auto" w:fill="FFFFFF" w:themeFill="background1"/>
            <w:noWrap/>
            <w:vAlign w:val="center"/>
          </w:tcPr>
          <w:p w14:paraId="16CAAB53">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781B585B">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支持配置服务端备用IP地址，避免其中一个IP与客户端无法连接情况下，采用备用服务器进行通信。同时可以满足客户多网络域切换的场景；</w:t>
            </w:r>
          </w:p>
        </w:tc>
      </w:tr>
      <w:tr w14:paraId="6538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10" w:type="dxa"/>
            <w:vMerge w:val="continue"/>
            <w:shd w:val="clear" w:color="auto" w:fill="FFFFFF" w:themeFill="background1"/>
            <w:noWrap/>
            <w:vAlign w:val="center"/>
          </w:tcPr>
          <w:p w14:paraId="0A4FAE94">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2DE92B8C">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支持配置服务端总下载带宽，避免大量客户端同一时间从服务端更新，造成带宽拥堵；</w:t>
            </w:r>
          </w:p>
        </w:tc>
      </w:tr>
      <w:tr w14:paraId="3EFE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10" w:type="dxa"/>
            <w:vMerge w:val="continue"/>
            <w:shd w:val="clear" w:color="auto" w:fill="FFFFFF" w:themeFill="background1"/>
            <w:noWrap/>
            <w:vAlign w:val="center"/>
          </w:tcPr>
          <w:p w14:paraId="41CCAAEC">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63C606C2">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支持给终端授权手动分配授权和回收授权，支持自动分配和手动分配授权2种模式；</w:t>
            </w:r>
          </w:p>
        </w:tc>
      </w:tr>
      <w:tr w14:paraId="0ED3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110" w:type="dxa"/>
            <w:vMerge w:val="continue"/>
            <w:shd w:val="clear" w:color="auto" w:fill="FFFFFF" w:themeFill="background1"/>
            <w:noWrap/>
            <w:vAlign w:val="center"/>
          </w:tcPr>
          <w:p w14:paraId="399CD50D">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50A61728">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支持客户端资源占用自动降级，当客户端CPU和内存使用率超过设定值时，将自动暂时关闭资源占用高的功能，待资源稳定时再开启。；</w:t>
            </w:r>
          </w:p>
        </w:tc>
      </w:tr>
      <w:tr w14:paraId="1E7F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1110" w:type="dxa"/>
            <w:shd w:val="clear" w:color="auto" w:fill="FFFFFF" w:themeFill="background1"/>
            <w:vAlign w:val="center"/>
          </w:tcPr>
          <w:p w14:paraId="5A23F5A0">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支持系统</w:t>
            </w:r>
          </w:p>
        </w:tc>
        <w:tc>
          <w:tcPr>
            <w:tcW w:w="7180" w:type="dxa"/>
            <w:shd w:val="clear" w:color="auto" w:fill="FFFFFF" w:themeFill="background1"/>
            <w:vAlign w:val="center"/>
          </w:tcPr>
          <w:p w14:paraId="3092F2C9">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XP Professional（x64）SP2版</w:t>
            </w:r>
          </w:p>
          <w:p w14:paraId="1078E5EF">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Vista Business、Enterprise、Ultimate、Home Basic、Home Premium、Business for Embedded Systems、Ultimate for Embedded Systems（x86/x64）SP2版</w:t>
            </w:r>
          </w:p>
          <w:p w14:paraId="0919BE4C">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7 Home Basic、Home Premium、Ultimate、Professional、Enterprise、Professional for Embedded Systems、Ultimate for Embedded Systems、Thin PC（x86/x64）包括或者未包括SP1版</w:t>
            </w:r>
          </w:p>
          <w:p w14:paraId="3BA60D20">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8/8.1 Standard、Professional、Enterprise（x86/x64）版</w:t>
            </w:r>
          </w:p>
          <w:p w14:paraId="6C526235">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10 Home、Professional、Education、Enterprise（x86/x64）版</w:t>
            </w:r>
          </w:p>
          <w:p w14:paraId="2F8E8670">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Server 2003和Windows Server 2003 R2（x86/x64）SP2版</w:t>
            </w:r>
          </w:p>
          <w:p w14:paraId="09C841D8">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Server 2008（x86/x64）SP2版</w:t>
            </w:r>
          </w:p>
          <w:p w14:paraId="6292B610">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Server 2008 R2（x64）SP1版</w:t>
            </w:r>
          </w:p>
          <w:p w14:paraId="315F5F4D">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Server 2012 和Windows Server 2012 R2 (x64)版</w:t>
            </w:r>
          </w:p>
          <w:p w14:paraId="32D7DE7F">
            <w:pPr>
              <w:widowControl/>
              <w:jc w:val="left"/>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 Windows Server 2016 (x64)版</w:t>
            </w:r>
          </w:p>
          <w:p w14:paraId="2FF83110">
            <w:pPr>
              <w:widowControl/>
              <w:jc w:val="left"/>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UOS （版本 1020-1050）桌面版操作系统 x86_64</w:t>
            </w:r>
          </w:p>
          <w:p w14:paraId="774A2608">
            <w:pPr>
              <w:widowControl/>
              <w:jc w:val="left"/>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UOS （版本 1020-1050）桌面版操作系统 arm64</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UOS （版本 1020-1040）桌面操作系统 arm64 HUAWEI Kirin990 定制版</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银河麒麟（ V10、 V10 SP1/SP2）桌面版操作系统 arm64</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银河麒麟（ V10、 V10 SP1/SP2）桌面版操作系统 x86_64</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ubuntu 16.04 桌面操作系统 x86_64</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ubuntu 18.04 桌面操作系统 x86_64</w:t>
            </w:r>
            <w:r>
              <w:rPr>
                <w:rFonts w:hint="eastAsia" w:ascii="宋体" w:hAnsi="宋体" w:eastAsia="宋体" w:cs="宋体"/>
                <w:color w:val="000000" w:themeColor="text1"/>
                <w:kern w:val="0"/>
                <w:szCs w:val="21"/>
                <w:lang w:bidi="ar"/>
                <w14:textFill>
                  <w14:solidFill>
                    <w14:schemeClr w14:val="tx1"/>
                  </w14:solidFill>
                </w14:textFill>
              </w:rPr>
              <w:br w:type="textWrapping"/>
            </w:r>
            <w:r>
              <w:rPr>
                <w:rFonts w:hint="eastAsia" w:ascii="宋体" w:hAnsi="宋体" w:eastAsia="宋体" w:cs="宋体"/>
                <w:color w:val="000000" w:themeColor="text1"/>
                <w:kern w:val="0"/>
                <w:szCs w:val="21"/>
                <w:lang w:bidi="ar"/>
                <w14:textFill>
                  <w14:solidFill>
                    <w14:schemeClr w14:val="tx1"/>
                  </w14:solidFill>
                </w14:textFill>
              </w:rPr>
              <w:t>ubuntu 20.04 桌面操作系统 x86_64</w:t>
            </w:r>
            <w:r>
              <w:rPr>
                <w:rFonts w:hint="eastAsia" w:ascii="宋体" w:hAnsi="宋体" w:eastAsia="宋体" w:cs="宋体"/>
                <w:color w:val="000000" w:themeColor="text1"/>
                <w:kern w:val="0"/>
                <w:szCs w:val="21"/>
                <w:lang w:bidi="ar"/>
                <w14:textFill>
                  <w14:solidFill>
                    <w14:schemeClr w14:val="tx1"/>
                  </w14:solidFill>
                </w14:textFill>
              </w:rPr>
              <w:br w:type="textWrapping"/>
            </w:r>
          </w:p>
        </w:tc>
      </w:tr>
      <w:tr w14:paraId="62B8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10" w:type="dxa"/>
            <w:vMerge w:val="restart"/>
            <w:shd w:val="clear" w:color="auto" w:fill="FFFFFF" w:themeFill="background1"/>
            <w:noWrap/>
            <w:vAlign w:val="center"/>
          </w:tcPr>
          <w:p w14:paraId="1B686C53">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安全防护</w:t>
            </w:r>
          </w:p>
        </w:tc>
        <w:tc>
          <w:tcPr>
            <w:tcW w:w="7180" w:type="dxa"/>
            <w:shd w:val="clear" w:color="auto" w:fill="FFFFFF" w:themeFill="background1"/>
            <w:vAlign w:val="center"/>
          </w:tcPr>
          <w:p w14:paraId="10107729">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支持能够实时监控并清除来自各种途径的病毒、木马、蠕虫、恶意软件、勒索软件、黑客工具等恶意威胁；</w:t>
            </w:r>
          </w:p>
        </w:tc>
      </w:tr>
      <w:tr w14:paraId="5214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110" w:type="dxa"/>
            <w:vMerge w:val="continue"/>
            <w:shd w:val="clear" w:color="auto" w:fill="FFFFFF" w:themeFill="background1"/>
            <w:noWrap/>
            <w:vAlign w:val="center"/>
          </w:tcPr>
          <w:p w14:paraId="49C660F4">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5A824169">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▲提供基于程序行为的独立恶意行为监控引擎，基于进程的操作行为和序列组合来应对未知威胁</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7135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110" w:type="dxa"/>
            <w:vMerge w:val="continue"/>
            <w:shd w:val="clear" w:color="auto" w:fill="FFFFFF" w:themeFill="background1"/>
            <w:noWrap/>
            <w:vAlign w:val="center"/>
          </w:tcPr>
          <w:p w14:paraId="07AAE5AC">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5F64A8CE">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支持手动/实时/立即/预设扫描配置不同处置措施</w:t>
            </w:r>
            <w:r>
              <w:rPr>
                <w:rFonts w:hint="eastAsia" w:ascii="宋体" w:hAnsi="宋体" w:eastAsia="宋体" w:cs="宋体"/>
                <w:color w:val="000000" w:themeColor="text1"/>
                <w:kern w:val="0"/>
                <w:szCs w:val="21"/>
                <w:lang w:eastAsia="zh-CN" w:bidi="ar"/>
                <w14:textFill>
                  <w14:solidFill>
                    <w14:schemeClr w14:val="tx1"/>
                  </w14:solidFill>
                </w14:textFill>
              </w:rPr>
              <w:t>，支持设置病毒清除动作前备份文件；</w:t>
            </w:r>
          </w:p>
        </w:tc>
      </w:tr>
      <w:tr w14:paraId="6384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110" w:type="dxa"/>
            <w:vMerge w:val="restart"/>
            <w:shd w:val="clear" w:color="auto" w:fill="FFFFFF" w:themeFill="background1"/>
            <w:noWrap/>
            <w:vAlign w:val="center"/>
          </w:tcPr>
          <w:p w14:paraId="709AC9AD">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防火墙</w:t>
            </w:r>
          </w:p>
        </w:tc>
        <w:tc>
          <w:tcPr>
            <w:tcW w:w="7180" w:type="dxa"/>
            <w:shd w:val="clear" w:color="auto" w:fill="FFFFFF" w:themeFill="background1"/>
            <w:vAlign w:val="center"/>
          </w:tcPr>
          <w:p w14:paraId="7D37DF77">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支持终端防火墙功能，可依据以下标准设定规则：远程IP，方向（出站\入站），协议（所有协议\ICMP\TCP\UDP\TCP+UDP）,端口</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119D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1110" w:type="dxa"/>
            <w:vMerge w:val="continue"/>
            <w:shd w:val="clear" w:color="auto" w:fill="FFFFFF" w:themeFill="background1"/>
            <w:noWrap/>
            <w:vAlign w:val="center"/>
          </w:tcPr>
          <w:p w14:paraId="18A0AD8F">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vAlign w:val="center"/>
          </w:tcPr>
          <w:p w14:paraId="672F0344">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▲支持针对单条规则设置是否上传日志导致日志上报造成网络堵塞或撑满服务器；</w:t>
            </w:r>
          </w:p>
        </w:tc>
      </w:tr>
      <w:tr w14:paraId="0EB3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110" w:type="dxa"/>
            <w:shd w:val="clear" w:color="auto" w:fill="FFFFFF" w:themeFill="background1"/>
            <w:noWrap/>
            <w:vAlign w:val="center"/>
          </w:tcPr>
          <w:p w14:paraId="5561748E">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web防护</w:t>
            </w:r>
          </w:p>
        </w:tc>
        <w:tc>
          <w:tcPr>
            <w:tcW w:w="7180" w:type="dxa"/>
            <w:shd w:val="clear" w:color="auto" w:fill="FFFFFF" w:themeFill="background1"/>
            <w:vAlign w:val="center"/>
          </w:tcPr>
          <w:p w14:paraId="16C13FA9">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支持拦截恶意URL功能，检测并阻止恶意的URL链接，并支持URL地址黑白名单功能；支持Web信誉评估功能，包含HTTPS通信扫描，结合云安全架构自动识别并屏蔽恶意站点，阻止病毒自动更新；</w:t>
            </w:r>
          </w:p>
        </w:tc>
      </w:tr>
      <w:tr w14:paraId="14CC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10" w:type="dxa"/>
            <w:vMerge w:val="restart"/>
            <w:shd w:val="clear" w:color="auto" w:fill="FFFFFF" w:themeFill="background1"/>
            <w:noWrap/>
            <w:vAlign w:val="center"/>
          </w:tcPr>
          <w:p w14:paraId="25FAAEE0">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客户端</w:t>
            </w:r>
          </w:p>
        </w:tc>
        <w:tc>
          <w:tcPr>
            <w:tcW w:w="7180" w:type="dxa"/>
            <w:shd w:val="clear" w:color="auto" w:fill="FFFFFF" w:themeFill="background1"/>
            <w:vAlign w:val="center"/>
          </w:tcPr>
          <w:p w14:paraId="1D139F1E">
            <w:pPr>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支持客户端组件更新功能，同时可以查看所有引擎、病毒码版本以及更新时间等信息；</w:t>
            </w:r>
          </w:p>
        </w:tc>
      </w:tr>
      <w:tr w14:paraId="7400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110" w:type="dxa"/>
            <w:vMerge w:val="continue"/>
            <w:shd w:val="clear" w:color="auto" w:fill="FFFFFF" w:themeFill="background1"/>
            <w:noWrap/>
            <w:vAlign w:val="center"/>
          </w:tcPr>
          <w:p w14:paraId="7399271E">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noWrap/>
            <w:vAlign w:val="center"/>
          </w:tcPr>
          <w:p w14:paraId="557E93FF">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▲支持配置外部更新源，离线客户端可直接到外网服务器更新防病毒、EDR、漏洞、补丁组件版本；</w:t>
            </w:r>
          </w:p>
        </w:tc>
      </w:tr>
      <w:tr w14:paraId="001B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110" w:type="dxa"/>
            <w:shd w:val="clear" w:color="auto" w:fill="FFFFFF" w:themeFill="background1"/>
            <w:noWrap/>
            <w:vAlign w:val="center"/>
          </w:tcPr>
          <w:p w14:paraId="521F478B">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爆发阻止</w:t>
            </w:r>
          </w:p>
        </w:tc>
        <w:tc>
          <w:tcPr>
            <w:tcW w:w="7180" w:type="dxa"/>
            <w:shd w:val="clear" w:color="auto" w:fill="FFFFFF" w:themeFill="background1"/>
            <w:vAlign w:val="center"/>
          </w:tcPr>
          <w:p w14:paraId="15087272">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▲具备病毒爆发防御功能。当最新病毒爆发时，可在病毒代码未完成之前自动对企业网络中的病毒传播端口、共享等进行关闭，切断病毒传播途径，预防最新病毒的攻击；</w:t>
            </w:r>
          </w:p>
        </w:tc>
      </w:tr>
      <w:tr w14:paraId="3903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110" w:type="dxa"/>
            <w:shd w:val="clear" w:color="auto" w:fill="FFFFFF" w:themeFill="background1"/>
            <w:noWrap/>
            <w:vAlign w:val="center"/>
          </w:tcPr>
          <w:p w14:paraId="2EEC4175">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漏洞弱点扫描</w:t>
            </w:r>
          </w:p>
        </w:tc>
        <w:tc>
          <w:tcPr>
            <w:tcW w:w="7180" w:type="dxa"/>
            <w:shd w:val="clear" w:color="auto" w:fill="FFFFFF" w:themeFill="background1"/>
            <w:noWrap/>
            <w:vAlign w:val="center"/>
          </w:tcPr>
          <w:p w14:paraId="3897F7A1">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▲支持CVE漏洞弱点扫描功能，及时防护经由网页/电子邮件下载的文档漏洞利用(CVE)；；</w:t>
            </w:r>
          </w:p>
        </w:tc>
      </w:tr>
      <w:tr w14:paraId="21AD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110" w:type="dxa"/>
            <w:shd w:val="clear" w:color="auto" w:fill="FFFFFF" w:themeFill="background1"/>
            <w:vAlign w:val="center"/>
          </w:tcPr>
          <w:p w14:paraId="5B2B4D66">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勒索软件防护</w:t>
            </w:r>
          </w:p>
        </w:tc>
        <w:tc>
          <w:tcPr>
            <w:tcW w:w="7180" w:type="dxa"/>
            <w:shd w:val="clear" w:color="auto" w:fill="FFFFFF" w:themeFill="background1"/>
            <w:vAlign w:val="center"/>
          </w:tcPr>
          <w:p w14:paraId="27451E71">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勒索防护功支持通过三重机制保障文档安全：1.实时监控防止未授权加密及篡改；2.自动触发预篡改备份机制，确保文件可追溯恢复；3.采用源头阻断策略，拦截勒索软件惯用的启动路径进程，有效遏制恶意程序激活；</w:t>
            </w:r>
          </w:p>
        </w:tc>
      </w:tr>
      <w:tr w14:paraId="1B47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110" w:type="dxa"/>
            <w:vMerge w:val="restart"/>
            <w:shd w:val="clear" w:color="auto" w:fill="FFFFFF" w:themeFill="background1"/>
            <w:vAlign w:val="center"/>
          </w:tcPr>
          <w:p w14:paraId="188C7976">
            <w:pPr>
              <w:widowControl/>
              <w:jc w:val="center"/>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社工钓鱼管控</w:t>
            </w:r>
          </w:p>
        </w:tc>
        <w:tc>
          <w:tcPr>
            <w:tcW w:w="7180" w:type="dxa"/>
            <w:shd w:val="clear" w:color="auto" w:fill="FFFFFF" w:themeFill="background1"/>
            <w:vAlign w:val="center"/>
          </w:tcPr>
          <w:p w14:paraId="66AE9060">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val="en-US" w:eastAsia="zh-CN" w:bidi="ar"/>
                <w14:textFill>
                  <w14:solidFill>
                    <w14:schemeClr w14:val="tx1"/>
                  </w14:solidFill>
                </w14:textFill>
              </w:rPr>
              <w:t>支持</w:t>
            </w:r>
            <w:r>
              <w:rPr>
                <w:rFonts w:hint="eastAsia" w:ascii="宋体" w:hAnsi="宋体" w:eastAsia="宋体" w:cs="宋体"/>
                <w:color w:val="000000" w:themeColor="text1"/>
                <w:kern w:val="0"/>
                <w:szCs w:val="21"/>
                <w:lang w:bidi="ar"/>
                <w14:textFill>
                  <w14:solidFill>
                    <w14:schemeClr w14:val="tx1"/>
                  </w14:solidFill>
                </w14:textFill>
              </w:rPr>
              <w:t>内存恶意行为</w:t>
            </w:r>
            <w:r>
              <w:rPr>
                <w:rFonts w:hint="eastAsia" w:ascii="宋体" w:hAnsi="宋体" w:eastAsia="宋体" w:cs="宋体"/>
                <w:color w:val="000000" w:themeColor="text1"/>
                <w:kern w:val="0"/>
                <w:szCs w:val="21"/>
                <w:lang w:val="en-US" w:eastAsia="zh-CN" w:bidi="ar"/>
                <w14:textFill>
                  <w14:solidFill>
                    <w14:schemeClr w14:val="tx1"/>
                  </w14:solidFill>
                </w14:textFill>
              </w:rPr>
              <w:t>检测</w:t>
            </w:r>
            <w:r>
              <w:rPr>
                <w:rFonts w:hint="eastAsia" w:ascii="宋体" w:hAnsi="宋体" w:eastAsia="宋体" w:cs="宋体"/>
                <w:color w:val="000000" w:themeColor="text1"/>
                <w:kern w:val="0"/>
                <w:szCs w:val="21"/>
                <w:lang w:bidi="ar"/>
                <w14:textFill>
                  <w14:solidFill>
                    <w14:schemeClr w14:val="tx1"/>
                  </w14:solidFill>
                </w14:textFill>
              </w:rPr>
              <w:t>，能够在终端侧进行实时行为监测与深度扫描，无需人工干预即可在触发恶意行为（如外连C2前）瞬间实现毫秒级自动拦截与处置，杜绝滞后防御</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599B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110" w:type="dxa"/>
            <w:vMerge w:val="continue"/>
            <w:shd w:val="clear" w:color="auto" w:fill="FFFFFF" w:themeFill="background1"/>
            <w:vAlign w:val="center"/>
          </w:tcPr>
          <w:p w14:paraId="5BB2A70C">
            <w:pPr>
              <w:widowControl/>
              <w:jc w:val="center"/>
              <w:textAlignment w:val="center"/>
              <w:rPr>
                <w:rFonts w:hint="eastAsia" w:ascii="宋体" w:hAnsi="宋体" w:eastAsia="宋体" w:cs="宋体"/>
                <w:color w:val="000000" w:themeColor="text1"/>
                <w:kern w:val="0"/>
                <w:szCs w:val="21"/>
                <w:lang w:bidi="ar"/>
                <w14:textFill>
                  <w14:solidFill>
                    <w14:schemeClr w14:val="tx1"/>
                  </w14:solidFill>
                </w14:textFill>
              </w:rPr>
            </w:pPr>
          </w:p>
        </w:tc>
        <w:tc>
          <w:tcPr>
            <w:tcW w:w="7180" w:type="dxa"/>
            <w:shd w:val="clear" w:color="auto" w:fill="FFFFFF" w:themeFill="background1"/>
            <w:vAlign w:val="center"/>
          </w:tcPr>
          <w:p w14:paraId="1D6F7C18">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★支持配置指定的IM入口（飞书、钉钉、企业微信、微信）和文件类型管控，直接在下载或落盘阶段实施强制拦截，从源头阻断可疑文件落地</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2CDA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110" w:type="dxa"/>
            <w:vMerge w:val="continue"/>
            <w:shd w:val="clear" w:color="auto" w:fill="FFFFFF" w:themeFill="background1"/>
            <w:vAlign w:val="center"/>
          </w:tcPr>
          <w:p w14:paraId="6955E560">
            <w:pPr>
              <w:widowControl/>
              <w:jc w:val="center"/>
              <w:textAlignment w:val="center"/>
              <w:rPr>
                <w:rFonts w:hint="eastAsia" w:ascii="宋体" w:hAnsi="宋体" w:eastAsia="宋体" w:cs="宋体"/>
                <w:color w:val="000000" w:themeColor="text1"/>
                <w:kern w:val="0"/>
                <w:szCs w:val="21"/>
                <w:lang w:bidi="ar"/>
                <w14:textFill>
                  <w14:solidFill>
                    <w14:schemeClr w14:val="tx1"/>
                  </w14:solidFill>
                </w14:textFill>
              </w:rPr>
            </w:pPr>
          </w:p>
        </w:tc>
        <w:tc>
          <w:tcPr>
            <w:tcW w:w="7180" w:type="dxa"/>
            <w:shd w:val="clear" w:color="auto" w:fill="FFFFFF" w:themeFill="background1"/>
            <w:vAlign w:val="center"/>
          </w:tcPr>
          <w:p w14:paraId="1A85AC5C">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支持引入强制签名验证机制，对于签名无效或无签名的可疑程序，无论其是否命中传统的病毒特征库，均可强制禁止其运行</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4675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110" w:type="dxa"/>
            <w:vMerge w:val="restart"/>
            <w:shd w:val="clear" w:color="auto" w:fill="FFFFFF" w:themeFill="background1"/>
            <w:noWrap/>
            <w:vAlign w:val="center"/>
          </w:tcPr>
          <w:p w14:paraId="1EE494F6">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日志</w:t>
            </w:r>
          </w:p>
        </w:tc>
        <w:tc>
          <w:tcPr>
            <w:tcW w:w="7180" w:type="dxa"/>
            <w:shd w:val="clear" w:color="auto" w:fill="FFFFFF" w:themeFill="background1"/>
            <w:vAlign w:val="center"/>
          </w:tcPr>
          <w:p w14:paraId="423355F8">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支持病毒日志查询与统计功能，可以随时对网络中病毒发生的情况进行查询统计；</w:t>
            </w:r>
          </w:p>
        </w:tc>
      </w:tr>
      <w:tr w14:paraId="7DCC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10" w:type="dxa"/>
            <w:vMerge w:val="continue"/>
            <w:shd w:val="clear" w:color="auto" w:fill="FFFFFF" w:themeFill="background1"/>
            <w:noWrap/>
            <w:vAlign w:val="center"/>
          </w:tcPr>
          <w:p w14:paraId="310DD6D4">
            <w:pPr>
              <w:jc w:val="center"/>
              <w:rPr>
                <w:rFonts w:ascii="宋体" w:hAnsi="宋体" w:eastAsia="宋体" w:cs="宋体"/>
                <w:color w:val="000000" w:themeColor="text1"/>
                <w:szCs w:val="21"/>
                <w14:textFill>
                  <w14:solidFill>
                    <w14:schemeClr w14:val="tx1"/>
                  </w14:solidFill>
                </w14:textFill>
              </w:rPr>
            </w:pPr>
          </w:p>
        </w:tc>
        <w:tc>
          <w:tcPr>
            <w:tcW w:w="7180" w:type="dxa"/>
            <w:shd w:val="clear" w:color="auto" w:fill="FFFFFF" w:themeFill="background1"/>
            <w:noWrap/>
            <w:vAlign w:val="center"/>
          </w:tcPr>
          <w:p w14:paraId="7AF756DB">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支持客户端防病毒感染情况进行监控、报警；</w:t>
            </w:r>
          </w:p>
        </w:tc>
      </w:tr>
      <w:tr w14:paraId="65CF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110" w:type="dxa"/>
            <w:shd w:val="clear" w:color="auto" w:fill="FFFFFF" w:themeFill="background1"/>
            <w:noWrap/>
            <w:vAlign w:val="center"/>
          </w:tcPr>
          <w:p w14:paraId="19FE0CB9">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可疑文件提交</w:t>
            </w:r>
          </w:p>
        </w:tc>
        <w:tc>
          <w:tcPr>
            <w:tcW w:w="7180" w:type="dxa"/>
            <w:shd w:val="clear" w:color="auto" w:fill="FFFFFF" w:themeFill="background1"/>
            <w:noWrap/>
            <w:vAlign w:val="center"/>
          </w:tcPr>
          <w:p w14:paraId="423AD379">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具备将可疑文件提交沙盒设备的联动能力，可自动提交可疑恶意文件，并可接收；</w:t>
            </w:r>
          </w:p>
        </w:tc>
      </w:tr>
      <w:tr w14:paraId="68E9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110" w:type="dxa"/>
            <w:shd w:val="clear" w:color="auto" w:fill="FFFFFF" w:themeFill="background1"/>
            <w:noWrap/>
            <w:vAlign w:val="center"/>
          </w:tcPr>
          <w:p w14:paraId="6951E188">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服务</w:t>
            </w:r>
          </w:p>
        </w:tc>
        <w:tc>
          <w:tcPr>
            <w:tcW w:w="7180" w:type="dxa"/>
            <w:shd w:val="clear" w:color="auto" w:fill="FFFFFF" w:themeFill="background1"/>
            <w:noWrap/>
            <w:vAlign w:val="center"/>
          </w:tcPr>
          <w:p w14:paraId="0545FC38">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提供三年软件授权及升级服务；</w:t>
            </w:r>
          </w:p>
        </w:tc>
      </w:tr>
      <w:tr w14:paraId="0401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10" w:type="dxa"/>
            <w:shd w:val="clear" w:color="auto" w:fill="FFFFFF" w:themeFill="background1"/>
            <w:noWrap/>
            <w:vAlign w:val="center"/>
          </w:tcPr>
          <w:p w14:paraId="689FE58B">
            <w:pPr>
              <w:jc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厂商要求</w:t>
            </w:r>
          </w:p>
        </w:tc>
        <w:tc>
          <w:tcPr>
            <w:tcW w:w="7180" w:type="dxa"/>
            <w:shd w:val="clear" w:color="auto" w:fill="FFFFFF" w:themeFill="background1"/>
            <w:vAlign w:val="center"/>
          </w:tcPr>
          <w:p w14:paraId="5935E793">
            <w:pPr>
              <w:widowControl/>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参加报价供应商必须提供</w:t>
            </w:r>
            <w:r>
              <w:rPr>
                <w:rFonts w:ascii="宋体" w:hAnsi="宋体" w:eastAsia="宋体" w:cs="宋体"/>
                <w:color w:val="000000" w:themeColor="text1"/>
                <w:kern w:val="0"/>
                <w:szCs w:val="21"/>
                <w:lang w:bidi="ar"/>
                <w14:textFill>
                  <w14:solidFill>
                    <w14:schemeClr w14:val="tx1"/>
                  </w14:solidFill>
                </w14:textFill>
              </w:rPr>
              <w:t>原厂授权书</w:t>
            </w:r>
            <w:r>
              <w:rPr>
                <w:rFonts w:hint="eastAsia" w:ascii="宋体" w:hAnsi="宋体" w:eastAsia="宋体" w:cs="宋体"/>
                <w:color w:val="000000" w:themeColor="text1"/>
                <w:kern w:val="0"/>
                <w:szCs w:val="21"/>
                <w:lang w:val="en-US" w:eastAsia="zh-CN" w:bidi="ar"/>
                <w14:textFill>
                  <w14:solidFill>
                    <w14:schemeClr w14:val="tx1"/>
                  </w14:solidFill>
                </w14:textFill>
              </w:rPr>
              <w:t>以及售后服务承诺函</w:t>
            </w:r>
            <w:r>
              <w:rPr>
                <w:rFonts w:hint="eastAsia" w:ascii="宋体" w:hAnsi="宋体" w:eastAsia="宋体" w:cs="宋体"/>
                <w:color w:val="000000" w:themeColor="text1"/>
                <w:kern w:val="0"/>
                <w:szCs w:val="21"/>
                <w:lang w:bidi="ar"/>
                <w14:textFill>
                  <w14:solidFill>
                    <w14:schemeClr w14:val="tx1"/>
                  </w14:solidFill>
                </w14:textFill>
              </w:rPr>
              <w:t>；</w:t>
            </w:r>
          </w:p>
        </w:tc>
      </w:tr>
    </w:tbl>
    <w:p w14:paraId="586EE55E">
      <w:pPr>
        <w:spacing w:before="468" w:beforeLines="150" w:line="480" w:lineRule="auto"/>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br w:type="page"/>
      </w:r>
    </w:p>
    <w:p w14:paraId="31623E96">
      <w:pPr>
        <w:spacing w:before="468" w:beforeLines="150" w:line="360" w:lineRule="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2.云主机安全软件</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000000"/>
          <w:kern w:val="0"/>
          <w:szCs w:val="21"/>
          <w:lang w:bidi="ar"/>
        </w:rPr>
        <w:t>亚信安全服务器深度安全防护系统V20.0</w:t>
      </w:r>
      <w:r>
        <w:rPr>
          <w:rFonts w:hint="eastAsia" w:ascii="宋体" w:hAnsi="宋体" w:eastAsia="宋体" w:cs="宋体"/>
          <w:color w:val="000000" w:themeColor="text1"/>
          <w:sz w:val="24"/>
          <w14:textFill>
            <w14:solidFill>
              <w14:schemeClr w14:val="tx1"/>
            </w14:solidFill>
          </w14:textFill>
        </w:rPr>
        <w:t xml:space="preserve"> ：云主机防病毒+虚拟补丁模块、续费（双模块包10个客户端）+增购（双模块包</w:t>
      </w:r>
      <w:r>
        <w:rPr>
          <w:rFonts w:hint="eastAsia" w:ascii="宋体" w:hAnsi="宋体" w:eastAsia="宋体" w:cs="宋体"/>
          <w:b/>
          <w:bCs/>
          <w:color w:val="000000" w:themeColor="text1"/>
          <w:sz w:val="24"/>
          <w:lang w:val="en-US" w:eastAsia="zh-CN"/>
          <w14:textFill>
            <w14:solidFill>
              <w14:schemeClr w14:val="tx1"/>
            </w14:solidFill>
          </w14:textFill>
        </w:rPr>
        <w:t>40</w:t>
      </w:r>
      <w:r>
        <w:rPr>
          <w:rFonts w:hint="eastAsia" w:ascii="宋体" w:hAnsi="宋体" w:eastAsia="宋体" w:cs="宋体"/>
          <w:color w:val="000000" w:themeColor="text1"/>
          <w:sz w:val="24"/>
          <w14:textFill>
            <w14:solidFill>
              <w14:schemeClr w14:val="tx1"/>
            </w14:solidFill>
          </w14:textFill>
        </w:rPr>
        <w:t>个客户端），叁年升级服务）具体参数要求如下：</w:t>
      </w:r>
    </w:p>
    <w:tbl>
      <w:tblPr>
        <w:tblStyle w:val="4"/>
        <w:tblW w:w="0" w:type="auto"/>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6982"/>
      </w:tblGrid>
      <w:tr w14:paraId="1A24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shd w:val="clear" w:color="auto" w:fill="auto"/>
            <w:vAlign w:val="center"/>
          </w:tcPr>
          <w:p w14:paraId="2107C880">
            <w:pPr>
              <w:widowControl/>
              <w:jc w:val="center"/>
              <w:textAlignment w:val="center"/>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功能项</w:t>
            </w:r>
          </w:p>
        </w:tc>
        <w:tc>
          <w:tcPr>
            <w:tcW w:w="6982" w:type="dxa"/>
            <w:shd w:val="clear" w:color="auto" w:fill="auto"/>
            <w:vAlign w:val="center"/>
          </w:tcPr>
          <w:p w14:paraId="42A39F55">
            <w:pPr>
              <w:widowControl/>
              <w:jc w:val="center"/>
              <w:textAlignment w:val="center"/>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详细描述</w:t>
            </w:r>
          </w:p>
        </w:tc>
      </w:tr>
      <w:tr w14:paraId="61AB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restart"/>
            <w:shd w:val="clear" w:color="auto" w:fill="auto"/>
            <w:vAlign w:val="center"/>
          </w:tcPr>
          <w:p w14:paraId="7D035700">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控制台</w:t>
            </w:r>
          </w:p>
        </w:tc>
        <w:tc>
          <w:tcPr>
            <w:tcW w:w="6982" w:type="dxa"/>
            <w:shd w:val="clear" w:color="auto" w:fill="auto"/>
            <w:vAlign w:val="center"/>
          </w:tcPr>
          <w:p w14:paraId="042D8746">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支持一个管理控制台与虚拟化平台无缝对接以及管理虚拟化防护产品；</w:t>
            </w:r>
          </w:p>
        </w:tc>
      </w:tr>
      <w:tr w14:paraId="63AE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267" w:type="dxa"/>
            <w:vMerge w:val="continue"/>
            <w:shd w:val="clear" w:color="auto" w:fill="auto"/>
            <w:vAlign w:val="center"/>
          </w:tcPr>
          <w:p w14:paraId="03DDA5A9">
            <w:pPr>
              <w:jc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6928F792">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支持部署在Windows或Linux服务器上，支持集群化部署，满足高可用；</w:t>
            </w:r>
          </w:p>
        </w:tc>
      </w:tr>
      <w:tr w14:paraId="2F5E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7" w:type="dxa"/>
            <w:vMerge w:val="continue"/>
            <w:shd w:val="clear" w:color="auto" w:fill="auto"/>
            <w:vAlign w:val="center"/>
          </w:tcPr>
          <w:p w14:paraId="37462667">
            <w:pPr>
              <w:jc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193C0A26">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有代理模式下支持主流的虚拟化平台，支持Windows、RHEL、Centos、Oracle Linux、SUSE、Ubuntu、Debian等多种操作系统；</w:t>
            </w:r>
          </w:p>
        </w:tc>
      </w:tr>
      <w:tr w14:paraId="190B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continue"/>
            <w:shd w:val="clear" w:color="auto" w:fill="auto"/>
            <w:vAlign w:val="center"/>
          </w:tcPr>
          <w:p w14:paraId="454A26D4">
            <w:pPr>
              <w:jc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48C06C68">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管理平台登录功能具备双因素认证，在密码、图形验证码基础上</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5A54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continue"/>
            <w:shd w:val="clear" w:color="auto" w:fill="auto"/>
            <w:vAlign w:val="center"/>
          </w:tcPr>
          <w:p w14:paraId="6E06387A">
            <w:pPr>
              <w:jc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7FB192A8">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支持展示各客户端版本、规则库版本、插件版本、扫描引擎版本状态信息，支持手动本地/联网更新模式，自动联网更新模式，更新记录，手动/自动全网下发，下发操作记录维护等能力</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6651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67" w:type="dxa"/>
            <w:vMerge w:val="restart"/>
            <w:shd w:val="clear" w:color="auto" w:fill="auto"/>
            <w:vAlign w:val="center"/>
          </w:tcPr>
          <w:p w14:paraId="6CEBBE20">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防恶意软件功能</w:t>
            </w:r>
          </w:p>
        </w:tc>
        <w:tc>
          <w:tcPr>
            <w:tcW w:w="6982" w:type="dxa"/>
            <w:shd w:val="clear" w:color="auto" w:fill="auto"/>
            <w:vAlign w:val="center"/>
          </w:tcPr>
          <w:p w14:paraId="2AE9CC5C">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支持本地扫描和云安全扫描，具备本地病毒码和云端病毒码，支持实时扫描、</w:t>
            </w:r>
            <w:r>
              <w:rPr>
                <w:rFonts w:hint="eastAsia" w:ascii="宋体" w:hAnsi="宋体" w:eastAsia="宋体" w:cs="宋体"/>
                <w:color w:val="000000" w:themeColor="text1"/>
                <w:kern w:val="0"/>
                <w:szCs w:val="21"/>
                <w:lang w:val="en-US" w:eastAsia="zh-CN" w:bidi="ar"/>
                <w14:textFill>
                  <w14:solidFill>
                    <w14:schemeClr w14:val="tx1"/>
                  </w14:solidFill>
                </w14:textFill>
              </w:rPr>
              <w:t>定时</w:t>
            </w:r>
            <w:r>
              <w:rPr>
                <w:rFonts w:hint="eastAsia" w:ascii="宋体" w:hAnsi="宋体" w:eastAsia="宋体" w:cs="宋体"/>
                <w:color w:val="000000" w:themeColor="text1"/>
                <w:kern w:val="0"/>
                <w:szCs w:val="21"/>
                <w:lang w:bidi="ar"/>
                <w14:textFill>
                  <w14:solidFill>
                    <w14:schemeClr w14:val="tx1"/>
                  </w14:solidFill>
                </w14:textFill>
              </w:rPr>
              <w:t>扫描、</w:t>
            </w:r>
            <w:r>
              <w:rPr>
                <w:rFonts w:hint="eastAsia" w:ascii="宋体" w:hAnsi="宋体" w:eastAsia="宋体" w:cs="宋体"/>
                <w:color w:val="000000" w:themeColor="text1"/>
                <w:kern w:val="0"/>
                <w:szCs w:val="21"/>
                <w:lang w:val="en-US" w:eastAsia="zh-CN" w:bidi="ar"/>
                <w14:textFill>
                  <w14:solidFill>
                    <w14:schemeClr w14:val="tx1"/>
                  </w14:solidFill>
                </w14:textFill>
              </w:rPr>
              <w:t>立即</w:t>
            </w:r>
            <w:r>
              <w:rPr>
                <w:rFonts w:hint="eastAsia" w:ascii="宋体" w:hAnsi="宋体" w:eastAsia="宋体" w:cs="宋体"/>
                <w:color w:val="000000" w:themeColor="text1"/>
                <w:kern w:val="0"/>
                <w:szCs w:val="21"/>
                <w:lang w:bidi="ar"/>
                <w14:textFill>
                  <w14:solidFill>
                    <w14:schemeClr w14:val="tx1"/>
                  </w14:solidFill>
                </w14:textFill>
              </w:rPr>
              <w:t>扫描；</w:t>
            </w:r>
          </w:p>
        </w:tc>
      </w:tr>
      <w:tr w14:paraId="63E0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267" w:type="dxa"/>
            <w:vMerge w:val="continue"/>
            <w:shd w:val="clear" w:color="auto" w:fill="auto"/>
            <w:vAlign w:val="center"/>
          </w:tcPr>
          <w:p w14:paraId="66715E0C">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2631E9B9">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▲支持配置扫描参数，包括扫描目录、后缀，以及例外的目录、文件、文件hash、进程镜像文件和后缀以及是否扫描网络盘</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7390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67" w:type="dxa"/>
            <w:vMerge w:val="continue"/>
            <w:shd w:val="clear" w:color="auto" w:fill="auto"/>
            <w:vAlign w:val="center"/>
          </w:tcPr>
          <w:p w14:paraId="281B80D7">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422A807D">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支持配置自动响应策略，响应措施包括：仅记录、隔离、清除、拒绝访问（实时扫描支持），并且支持配置自动响应的生效目录和后缀和生效时间</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24A9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267" w:type="dxa"/>
            <w:vMerge w:val="continue"/>
            <w:shd w:val="clear" w:color="auto" w:fill="auto"/>
            <w:vAlign w:val="center"/>
          </w:tcPr>
          <w:p w14:paraId="76786D5B">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05082616">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eastAsia" w:ascii="宋体" w:hAnsi="宋体" w:eastAsia="宋体" w:cs="宋体"/>
                <w:color w:val="000000" w:themeColor="text1"/>
                <w:kern w:val="0"/>
                <w:szCs w:val="21"/>
                <w:lang w:bidi="ar"/>
                <w14:textFill>
                  <w14:solidFill>
                    <w14:schemeClr w14:val="tx1"/>
                  </w14:solidFill>
                </w14:textFill>
              </w:rPr>
              <w:t>支持切换内核级落盘查杀，可毫秒级响应，勒索病毒落盘即拦截，可确保恶意文件无法运行</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003B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267" w:type="dxa"/>
            <w:vMerge w:val="continue"/>
            <w:shd w:val="clear" w:color="auto" w:fill="auto"/>
            <w:vAlign w:val="center"/>
          </w:tcPr>
          <w:p w14:paraId="453B26E0">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1DEDEF68">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支持网络盘扫描：扫描驻留在网络文件系统（NFS），服务器消息块（SMB）或通用 Internet文件系统（CIFS）中的网络共享和映射网络驱动器中的文件和文件夹</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1B16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267" w:type="dxa"/>
            <w:vMerge w:val="continue"/>
            <w:shd w:val="clear" w:color="auto" w:fill="auto"/>
            <w:vAlign w:val="center"/>
          </w:tcPr>
          <w:p w14:paraId="6412DC43">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4FB7A054">
            <w:pPr>
              <w:widowControl/>
              <w:jc w:val="left"/>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压缩文件扫描支持配置扫描参数：最多可解压20层、单文件最大可提取1000M、单压缩包最多可解压9999文件；</w:t>
            </w:r>
          </w:p>
        </w:tc>
      </w:tr>
      <w:tr w14:paraId="5B2A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267" w:type="dxa"/>
            <w:vMerge w:val="restart"/>
            <w:shd w:val="clear" w:color="auto" w:fill="auto"/>
            <w:vAlign w:val="center"/>
          </w:tcPr>
          <w:p w14:paraId="215EC4B7">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入侵防御及</w:t>
            </w:r>
          </w:p>
          <w:p w14:paraId="4BAD6EC8">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虚拟补丁</w:t>
            </w:r>
          </w:p>
        </w:tc>
        <w:tc>
          <w:tcPr>
            <w:tcW w:w="6982" w:type="dxa"/>
            <w:shd w:val="clear" w:color="auto" w:fill="auto"/>
            <w:vAlign w:val="center"/>
          </w:tcPr>
          <w:p w14:paraId="577FC160">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▲支持通过流量分析识别漏洞利用行为，内置规则9000条以上，支持应用程序类型400个以上；</w:t>
            </w:r>
          </w:p>
        </w:tc>
      </w:tr>
      <w:tr w14:paraId="3B02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continue"/>
            <w:shd w:val="clear" w:color="auto" w:fill="auto"/>
            <w:vAlign w:val="center"/>
          </w:tcPr>
          <w:p w14:paraId="05CE6FFB">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5BAA9AD1">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▲支持手动和自动应用识别规则。自动应用可关联漏洞扫描结果，自动对应规则，当漏洞修复后，自动回收规则</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31F9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7" w:type="dxa"/>
            <w:vMerge w:val="continue"/>
            <w:shd w:val="clear" w:color="auto" w:fill="auto"/>
            <w:vAlign w:val="center"/>
          </w:tcPr>
          <w:p w14:paraId="5D450277">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3B7C7DFA">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▲支持设置拦截或仅检测两种模式</w:t>
            </w:r>
            <w:r>
              <w:rPr>
                <w:rFonts w:hint="eastAsia" w:ascii="宋体" w:hAnsi="宋体" w:eastAsia="宋体" w:cs="宋体"/>
                <w:color w:val="000000" w:themeColor="text1"/>
                <w:kern w:val="0"/>
                <w:szCs w:val="21"/>
                <w:lang w:eastAsia="zh-CN" w:bidi="ar"/>
                <w14:textFill>
                  <w14:solidFill>
                    <w14:schemeClr w14:val="tx1"/>
                  </w14:solidFill>
                </w14:textFill>
              </w:rPr>
              <w:t>；支持自定义流量特征，识别异常行为；</w:t>
            </w:r>
          </w:p>
        </w:tc>
      </w:tr>
      <w:tr w14:paraId="53B7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continue"/>
            <w:shd w:val="clear" w:color="auto" w:fill="auto"/>
            <w:vAlign w:val="center"/>
          </w:tcPr>
          <w:p w14:paraId="5140BD80">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3BB2C186">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▲支持设置入侵防御规则处于活动状态的时间，例如每日一次、全天、周末等；</w:t>
            </w:r>
          </w:p>
        </w:tc>
      </w:tr>
      <w:tr w14:paraId="58A6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7" w:type="dxa"/>
            <w:vMerge w:val="continue"/>
            <w:shd w:val="clear" w:color="auto" w:fill="auto"/>
            <w:vAlign w:val="center"/>
          </w:tcPr>
          <w:p w14:paraId="30615D91">
            <w:pPr>
              <w:widowControl/>
              <w:jc w:val="center"/>
              <w:textAlignment w:val="center"/>
              <w:rPr>
                <w:rFonts w:ascii="宋体" w:hAnsi="宋体" w:eastAsia="宋体" w:cs="宋体"/>
                <w:color w:val="000000" w:themeColor="text1"/>
                <w:szCs w:val="21"/>
                <w14:textFill>
                  <w14:solidFill>
                    <w14:schemeClr w14:val="tx1"/>
                  </w14:solidFill>
                </w14:textFill>
              </w:rPr>
            </w:pPr>
          </w:p>
        </w:tc>
        <w:tc>
          <w:tcPr>
            <w:tcW w:w="6982" w:type="dxa"/>
            <w:shd w:val="clear" w:color="auto" w:fill="auto"/>
            <w:vAlign w:val="center"/>
          </w:tcPr>
          <w:p w14:paraId="224F5619">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入侵行为支持告警，并可展示原始的流量数据</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0949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1267" w:type="dxa"/>
            <w:vMerge w:val="restart"/>
            <w:shd w:val="clear" w:color="auto" w:fill="auto"/>
            <w:vAlign w:val="center"/>
          </w:tcPr>
          <w:p w14:paraId="7DAE9878">
            <w:pPr>
              <w:widowControl/>
              <w:jc w:val="center"/>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val="en-US" w:eastAsia="zh-CN" w:bidi="ar"/>
                <w14:textFill>
                  <w14:solidFill>
                    <w14:schemeClr w14:val="tx1"/>
                  </w14:solidFill>
                </w14:textFill>
              </w:rPr>
              <w:t>防火墙</w:t>
            </w:r>
          </w:p>
        </w:tc>
        <w:tc>
          <w:tcPr>
            <w:tcW w:w="6982" w:type="dxa"/>
            <w:shd w:val="clear" w:color="auto" w:fill="auto"/>
            <w:vAlign w:val="center"/>
          </w:tcPr>
          <w:p w14:paraId="2E1C287C">
            <w:pPr>
              <w:widowControl/>
              <w:jc w:val="left"/>
              <w:textAlignment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支持按IP、MAC、端口配置配置数据包源和数据包目标</w:t>
            </w:r>
            <w:r>
              <w:rPr>
                <w:rFonts w:hint="eastAsia" w:ascii="宋体" w:hAnsi="宋体" w:eastAsia="宋体" w:cs="宋体"/>
                <w:color w:val="000000" w:themeColor="text1"/>
                <w:kern w:val="0"/>
                <w:szCs w:val="21"/>
                <w:lang w:eastAsia="zh-CN" w:bidi="ar"/>
                <w14:textFill>
                  <w14:solidFill>
                    <w14:schemeClr w14:val="tx1"/>
                  </w14:solidFill>
                </w14:textFill>
              </w:rPr>
              <w:t>，支持处置动作包括放行、仅记录、拒绝、允许、强制允许；</w:t>
            </w:r>
          </w:p>
        </w:tc>
      </w:tr>
      <w:tr w14:paraId="6844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1267" w:type="dxa"/>
            <w:vMerge w:val="continue"/>
            <w:shd w:val="clear" w:color="auto" w:fill="auto"/>
            <w:vAlign w:val="center"/>
          </w:tcPr>
          <w:p w14:paraId="23E7A090">
            <w:pPr>
              <w:widowControl/>
              <w:jc w:val="center"/>
              <w:textAlignment w:val="center"/>
              <w:rPr>
                <w:rFonts w:hint="eastAsia" w:ascii="宋体" w:hAnsi="宋体" w:eastAsia="宋体" w:cs="宋体"/>
                <w:color w:val="000000" w:themeColor="text1"/>
                <w:kern w:val="0"/>
                <w:szCs w:val="21"/>
                <w:lang w:val="en-US" w:eastAsia="zh-CN" w:bidi="ar"/>
                <w14:textFill>
                  <w14:solidFill>
                    <w14:schemeClr w14:val="tx1"/>
                  </w14:solidFill>
                </w14:textFill>
              </w:rPr>
            </w:pPr>
          </w:p>
        </w:tc>
        <w:tc>
          <w:tcPr>
            <w:tcW w:w="6982" w:type="dxa"/>
            <w:shd w:val="clear" w:color="auto" w:fill="auto"/>
            <w:vAlign w:val="center"/>
          </w:tcPr>
          <w:p w14:paraId="1275A0CB">
            <w:pPr>
              <w:widowControl/>
              <w:jc w:val="left"/>
              <w:textAlignment w:val="center"/>
              <w:rPr>
                <w:rFonts w:hint="eastAsia" w:ascii="宋体" w:hAnsi="宋体" w:eastAsia="宋体" w:cs="宋体"/>
                <w:color w:val="000000" w:themeColor="text1"/>
                <w:kern w:val="0"/>
                <w:szCs w:val="21"/>
                <w:lang w:eastAsia="zh-CN"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支持协议类型包括：任何、ICMP、IGMP、GGP、TCP、PUP、UDP、IDP、ND、RAW、TCP+IDP、ICMP6</w:t>
            </w:r>
            <w:r>
              <w:rPr>
                <w:rFonts w:hint="eastAsia" w:ascii="宋体" w:hAnsi="宋体" w:eastAsia="宋体" w:cs="宋体"/>
                <w:color w:val="000000" w:themeColor="text1"/>
                <w:kern w:val="0"/>
                <w:szCs w:val="21"/>
                <w:lang w:eastAsia="zh-CN" w:bidi="ar"/>
                <w14:textFill>
                  <w14:solidFill>
                    <w14:schemeClr w14:val="tx1"/>
                  </w14:solidFill>
                </w14:textFill>
              </w:rPr>
              <w:t>；</w:t>
            </w:r>
          </w:p>
        </w:tc>
      </w:tr>
      <w:tr w14:paraId="34D2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1267" w:type="dxa"/>
            <w:vMerge w:val="restart"/>
            <w:shd w:val="clear" w:color="auto" w:fill="auto"/>
            <w:vAlign w:val="center"/>
          </w:tcPr>
          <w:p w14:paraId="71E25E8E">
            <w:pPr>
              <w:widowControl/>
              <w:jc w:val="center"/>
              <w:textAlignment w:val="center"/>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kern w:val="0"/>
                <w:szCs w:val="21"/>
                <w:lang w:val="en-US" w:eastAsia="zh-CN" w:bidi="ar"/>
                <w14:textFill>
                  <w14:solidFill>
                    <w14:schemeClr w14:val="tx1"/>
                  </w14:solidFill>
                </w14:textFill>
              </w:rPr>
              <w:t>Agent管理</w:t>
            </w:r>
          </w:p>
        </w:tc>
        <w:tc>
          <w:tcPr>
            <w:tcW w:w="6982" w:type="dxa"/>
            <w:shd w:val="clear" w:color="auto" w:fill="auto"/>
            <w:vAlign w:val="center"/>
          </w:tcPr>
          <w:p w14:paraId="14524FF8">
            <w:pPr>
              <w:widowControl/>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▲Agent安装方式支持手动下载安装包（Linux X86，Linux X86 64，Linux ARm 64,windows安装包类型）安装和一句话命令（CMD，Powershell方式）自动安装；支持选择安装主机范围，配置主机连接方式，包括直连主机、代理连接、前置机连接三种模式；</w:t>
            </w:r>
          </w:p>
        </w:tc>
      </w:tr>
      <w:tr w14:paraId="7F52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67" w:type="dxa"/>
            <w:vMerge w:val="continue"/>
            <w:shd w:val="clear" w:color="auto" w:fill="auto"/>
            <w:vAlign w:val="center"/>
          </w:tcPr>
          <w:p w14:paraId="47B9D3D6">
            <w:pPr>
              <w:widowControl/>
              <w:jc w:val="center"/>
              <w:textAlignment w:val="center"/>
              <w:rPr>
                <w:rFonts w:hint="eastAsia" w:ascii="宋体" w:hAnsi="宋体" w:eastAsia="宋体" w:cs="宋体"/>
                <w:color w:val="000000" w:themeColor="text1"/>
                <w:kern w:val="0"/>
                <w:szCs w:val="21"/>
                <w:lang w:val="en-US" w:eastAsia="zh-CN" w:bidi="ar"/>
                <w14:textFill>
                  <w14:solidFill>
                    <w14:schemeClr w14:val="tx1"/>
                  </w14:solidFill>
                </w14:textFill>
              </w:rPr>
            </w:pPr>
          </w:p>
        </w:tc>
        <w:tc>
          <w:tcPr>
            <w:tcW w:w="6982" w:type="dxa"/>
            <w:shd w:val="clear" w:color="auto" w:fill="auto"/>
            <w:vAlign w:val="center"/>
          </w:tcPr>
          <w:p w14:paraId="63102F82">
            <w:pPr>
              <w:widowControl/>
              <w:jc w:val="left"/>
              <w:textAlignment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val="en-US" w:eastAsia="zh-CN" w:bidi="ar"/>
                <w14:textFill>
                  <w14:solidFill>
                    <w14:schemeClr w14:val="tx1"/>
                  </w14:solidFill>
                </w14:textFill>
              </w:rPr>
              <w:t>支持</w:t>
            </w:r>
            <w:r>
              <w:rPr>
                <w:rFonts w:hint="eastAsia" w:ascii="宋体" w:hAnsi="宋体" w:eastAsia="宋体" w:cs="宋体"/>
                <w:color w:val="000000" w:themeColor="text1"/>
                <w:kern w:val="0"/>
                <w:szCs w:val="21"/>
                <w:lang w:bidi="ar"/>
                <w14:textFill>
                  <w14:solidFill>
                    <w14:schemeClr w14:val="tx1"/>
                  </w14:solidFill>
                </w14:textFill>
              </w:rPr>
              <w:t>限制Agent CPU资源使用率、主机内存使用率、主机CPU使用率，支持自定义限速阈值设定，以触发Agent进程自杀</w:t>
            </w:r>
          </w:p>
        </w:tc>
      </w:tr>
      <w:tr w14:paraId="2549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7" w:type="dxa"/>
            <w:shd w:val="clear" w:color="auto" w:fill="auto"/>
            <w:noWrap/>
            <w:vAlign w:val="center"/>
          </w:tcPr>
          <w:p w14:paraId="0FDB21DE">
            <w:pPr>
              <w:widowControl/>
              <w:jc w:val="center"/>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服务</w:t>
            </w:r>
          </w:p>
        </w:tc>
        <w:tc>
          <w:tcPr>
            <w:tcW w:w="6982" w:type="dxa"/>
            <w:shd w:val="clear" w:color="auto" w:fill="auto"/>
            <w:vAlign w:val="center"/>
          </w:tcPr>
          <w:p w14:paraId="64AEE9BC">
            <w:pPr>
              <w:jc w:val="left"/>
              <w:textAlignment w:val="center"/>
              <w:rPr>
                <w:rFonts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提供三年软件授权及升级服务；</w:t>
            </w:r>
          </w:p>
        </w:tc>
      </w:tr>
      <w:tr w14:paraId="7C4A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7" w:type="dxa"/>
            <w:shd w:val="clear" w:color="auto" w:fill="auto"/>
            <w:noWrap/>
            <w:vAlign w:val="center"/>
          </w:tcPr>
          <w:p w14:paraId="173CC39F">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厂商要求</w:t>
            </w:r>
          </w:p>
        </w:tc>
        <w:tc>
          <w:tcPr>
            <w:tcW w:w="6982" w:type="dxa"/>
            <w:shd w:val="clear" w:color="auto" w:fill="auto"/>
            <w:vAlign w:val="center"/>
          </w:tcPr>
          <w:p w14:paraId="11296668">
            <w:pPr>
              <w:jc w:val="left"/>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参加报价供应商必须提供</w:t>
            </w:r>
            <w:r>
              <w:rPr>
                <w:rFonts w:ascii="宋体" w:hAnsi="宋体" w:eastAsia="宋体" w:cs="宋体"/>
                <w:color w:val="000000" w:themeColor="text1"/>
                <w:kern w:val="0"/>
                <w:szCs w:val="21"/>
                <w:lang w:bidi="ar"/>
                <w14:textFill>
                  <w14:solidFill>
                    <w14:schemeClr w14:val="tx1"/>
                  </w14:solidFill>
                </w14:textFill>
              </w:rPr>
              <w:t>原厂授权书</w:t>
            </w:r>
            <w:r>
              <w:rPr>
                <w:rFonts w:hint="eastAsia" w:ascii="宋体" w:hAnsi="宋体" w:eastAsia="宋体" w:cs="宋体"/>
                <w:color w:val="000000" w:themeColor="text1"/>
                <w:kern w:val="0"/>
                <w:szCs w:val="21"/>
                <w:lang w:val="en-US" w:eastAsia="zh-CN" w:bidi="ar"/>
                <w14:textFill>
                  <w14:solidFill>
                    <w14:schemeClr w14:val="tx1"/>
                  </w14:solidFill>
                </w14:textFill>
              </w:rPr>
              <w:t>以及售后服务承诺函</w:t>
            </w:r>
            <w:r>
              <w:rPr>
                <w:rFonts w:hint="eastAsia" w:ascii="宋体" w:hAnsi="宋体" w:eastAsia="宋体" w:cs="宋体"/>
                <w:color w:val="000000" w:themeColor="text1"/>
                <w:kern w:val="0"/>
                <w:szCs w:val="21"/>
                <w:lang w:bidi="ar"/>
                <w14:textFill>
                  <w14:solidFill>
                    <w14:schemeClr w14:val="tx1"/>
                  </w14:solidFill>
                </w14:textFill>
              </w:rPr>
              <w:t>；</w:t>
            </w:r>
          </w:p>
        </w:tc>
      </w:tr>
    </w:tbl>
    <w:p w14:paraId="4E60A9DA">
      <w:pPr>
        <w:spacing w:line="360" w:lineRule="auto"/>
        <w:rPr>
          <w:color w:val="000000" w:themeColor="text1"/>
          <w:sz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5OGE5ZWU5OWRmMDM4ZjM3Y2ZiZTc3MzczZTcwMWQifQ=="/>
  </w:docVars>
  <w:rsids>
    <w:rsidRoot w:val="192052ED"/>
    <w:rsid w:val="001E3F66"/>
    <w:rsid w:val="002C3265"/>
    <w:rsid w:val="004459AF"/>
    <w:rsid w:val="004B0365"/>
    <w:rsid w:val="00517FB4"/>
    <w:rsid w:val="005219F5"/>
    <w:rsid w:val="0056081F"/>
    <w:rsid w:val="00567DDA"/>
    <w:rsid w:val="00651E4F"/>
    <w:rsid w:val="00756D3D"/>
    <w:rsid w:val="00762970"/>
    <w:rsid w:val="00781DF7"/>
    <w:rsid w:val="007A133E"/>
    <w:rsid w:val="0081412B"/>
    <w:rsid w:val="00981866"/>
    <w:rsid w:val="009924B9"/>
    <w:rsid w:val="00B407EC"/>
    <w:rsid w:val="00CE5808"/>
    <w:rsid w:val="00E41709"/>
    <w:rsid w:val="00E91E45"/>
    <w:rsid w:val="192052ED"/>
    <w:rsid w:val="27D70FBD"/>
    <w:rsid w:val="290F5BD3"/>
    <w:rsid w:val="33FA5800"/>
    <w:rsid w:val="3F466E5E"/>
    <w:rsid w:val="413B3B8D"/>
    <w:rsid w:val="452D3B37"/>
    <w:rsid w:val="526629AA"/>
    <w:rsid w:val="716B0ACE"/>
    <w:rsid w:val="79D85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font71"/>
    <w:basedOn w:val="5"/>
    <w:qFormat/>
    <w:uiPriority w:val="0"/>
    <w:rPr>
      <w:rFonts w:hint="eastAsia" w:ascii="等线" w:hAnsi="等线" w:eastAsia="等线" w:cs="等线"/>
      <w:color w:val="000000"/>
      <w:sz w:val="24"/>
      <w:szCs w:val="24"/>
      <w:u w:val="none"/>
    </w:rPr>
  </w:style>
  <w:style w:type="character" w:customStyle="1" w:styleId="7">
    <w:name w:val="font01"/>
    <w:basedOn w:val="5"/>
    <w:qFormat/>
    <w:uiPriority w:val="0"/>
    <w:rPr>
      <w:rFonts w:hint="default" w:ascii="Calibri" w:hAnsi="Calibri" w:cs="Calibri"/>
      <w:color w:val="000000"/>
      <w:sz w:val="22"/>
      <w:szCs w:val="22"/>
      <w:u w:val="none"/>
    </w:rPr>
  </w:style>
  <w:style w:type="character" w:customStyle="1" w:styleId="8">
    <w:name w:val="font31"/>
    <w:basedOn w:val="5"/>
    <w:qFormat/>
    <w:uiPriority w:val="0"/>
    <w:rPr>
      <w:rFonts w:hint="eastAsia" w:ascii="宋体" w:hAnsi="宋体" w:eastAsia="宋体" w:cs="宋体"/>
      <w:color w:val="000000"/>
      <w:sz w:val="22"/>
      <w:szCs w:val="22"/>
      <w:u w:val="none"/>
    </w:rPr>
  </w:style>
  <w:style w:type="character" w:customStyle="1" w:styleId="9">
    <w:name w:val="页眉 字符"/>
    <w:basedOn w:val="5"/>
    <w:link w:val="3"/>
    <w:qFormat/>
    <w:uiPriority w:val="0"/>
    <w:rPr>
      <w:rFonts w:asciiTheme="minorHAnsi" w:hAnsiTheme="minorHAnsi" w:eastAsiaTheme="minorEastAsia" w:cstheme="minorBidi"/>
      <w:kern w:val="2"/>
      <w:sz w:val="18"/>
      <w:szCs w:val="18"/>
    </w:rPr>
  </w:style>
  <w:style w:type="character" w:customStyle="1" w:styleId="10">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7AAFF-DBFE-4905-80D1-DBD4DD41DBBC}">
  <ds:schemaRefs/>
</ds:datastoreItem>
</file>

<file path=docProps/app.xml><?xml version="1.0" encoding="utf-8"?>
<Properties xmlns="http://schemas.openxmlformats.org/officeDocument/2006/extended-properties" xmlns:vt="http://schemas.openxmlformats.org/officeDocument/2006/docPropsVTypes">
  <Template>Normal</Template>
  <Pages>5</Pages>
  <Words>2670</Words>
  <Characters>3501</Characters>
  <Lines>21</Lines>
  <Paragraphs>5</Paragraphs>
  <TotalTime>62</TotalTime>
  <ScaleCrop>false</ScaleCrop>
  <LinksUpToDate>false</LinksUpToDate>
  <CharactersWithSpaces>3611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2022-06-06T13:24:00Z</dcterms:created>
  <dc:creator>admin</dc:creator>
  <cp:lastModifiedBy>小橙菜奈。</cp:lastModifiedBy>
  <dcterms:modified xsi:type="dcterms:W3CDTF">2026-09-09T03:29:05Z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4839E549AA7F4ED29E995C868D8D788F_13</vt:lpwstr>
  </property>
  <property fmtid="{D5CDD505-2E9C-101B-9397-08002B2CF9AE}" pid="4" name="KSOTemplateDocerSaveRecord">
    <vt:lpwstr>eyJoZGlkIjoiZTFhOTlhN2UyMDgyZmVjMDYxZGY4Mzg2YzllMWUwNDEiLCJ1c2VySWQiOiIyNjgxODg3MTIifQ==</vt:lpwstr>
  </property>
</Properties>
</file>